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color w:val="auto"/>
          <w:highlight w:val="none"/>
        </w:rPr>
      </w:r>
    </w:p>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ind w:firstLine="320"/>
        <w:jc w:val="right"/>
        <w:rPr>
          <w:rFonts w:hint="eastAsia" w:ascii="仿宋" w:hAnsi="仿宋" w:eastAsia="仿宋" w:cs="仿宋"/>
          <w:color w:val="auto"/>
          <w:highlight w:val="none"/>
        </w:rPr>
      </w:pPr>
      <w:r>
        <w:rPr>
          <w:rFonts w:hint="eastAsia" w:ascii="仿宋" w:hAnsi="仿宋" w:eastAsia="仿宋" w:cs="仿宋"/>
          <w:color w:val="auto"/>
          <w:sz w:val="32"/>
          <w:highlight w:val="none"/>
        </w:rPr>
        <w:t xml:space="preserve">           </w:t>
      </w:r>
      <w:r>
        <w:rPr>
          <w:color w:val="auto"/>
          <w:highlight w:val="none"/>
        </w:rPr>
      </w:r>
    </w:p>
    <w:p>
      <w:pPr>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招标文件</w:t>
      </w:r>
      <w:r>
        <w:rPr>
          <w:color w:val="auto"/>
          <w:highlight w:val="none"/>
        </w:rPr>
      </w:r>
    </w:p>
    <w:p>
      <w:pPr>
        <w:pStyle w:val="101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                </w:t>
      </w:r>
      <w:r>
        <w:rPr>
          <w:color w:val="auto"/>
          <w:highlight w:val="none"/>
        </w:rPr>
      </w:r>
    </w:p>
    <w:p>
      <w:pPr>
        <w:pStyle w:val="101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rPr>
          <w:color w:val="auto"/>
          <w:highlight w:val="none"/>
        </w:rPr>
      </w:r>
    </w:p>
    <w:p>
      <w:pPr>
        <w:pStyle w:val="101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rPr>
          <w:color w:val="auto"/>
          <w:highlight w:val="none"/>
        </w:rPr>
      </w:r>
    </w:p>
    <w:p>
      <w:pPr>
        <w:pStyle w:val="101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rPr>
          <w:color w:val="auto"/>
          <w:highlight w:val="none"/>
        </w:rPr>
      </w:r>
    </w:p>
    <w:p>
      <w:pPr>
        <w:ind w:firstLine="1205"/>
        <w:spacing w:line="360" w:lineRule="auto"/>
        <w:rPr>
          <w:rFonts w:hint="eastAsia" w:ascii="仿宋" w:hAnsi="仿宋" w:eastAsia="仿宋" w:cs="仿宋"/>
          <w:color w:val="auto"/>
          <w:spacing w:val="76"/>
          <w:sz w:val="156"/>
          <w:highlight w:val="none"/>
        </w:rPr>
      </w:pPr>
      <w:r>
        <w:rPr>
          <w:rFonts w:hint="eastAsia" w:ascii="仿宋" w:hAnsi="仿宋" w:eastAsia="仿宋" w:cs="仿宋"/>
          <w:b/>
          <w:bCs/>
          <w:color w:val="auto"/>
          <w:sz w:val="30"/>
          <w:szCs w:val="30"/>
          <w:highlight w:val="none"/>
        </w:rPr>
        <w:t xml:space="preserve">项目编号：</w:t>
      </w:r>
      <w:r>
        <w:rPr>
          <w:rFonts w:hint="eastAsia" w:ascii="仿宋" w:hAnsi="仿宋" w:eastAsia="仿宋" w:cs="仿宋"/>
          <w:b/>
          <w:bCs/>
          <w:color w:val="auto"/>
          <w:sz w:val="30"/>
          <w:szCs w:val="30"/>
          <w:highlight w:val="none"/>
          <w:lang w:eastAsia="zh-CN"/>
        </w:rPr>
        <w:t xml:space="preserve">JSZC-320322-XZZS-G2025-0001</w:t>
      </w:r>
      <w:r>
        <w:rPr>
          <w:color w:val="auto"/>
          <w:highlight w:val="none"/>
        </w:rPr>
      </w:r>
    </w:p>
    <w:p>
      <w:pPr>
        <w:ind w:left="2699" w:hanging="1506"/>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30"/>
          <w:szCs w:val="30"/>
          <w:highlight w:val="none"/>
        </w:rPr>
        <w:t xml:space="preserve">项目名称：</w:t>
      </w:r>
      <w:r>
        <w:rPr>
          <w:rFonts w:hint="eastAsia" w:ascii="仿宋" w:hAnsi="仿宋" w:eastAsia="仿宋" w:cs="仿宋"/>
          <w:b/>
          <w:bCs/>
          <w:color w:val="auto"/>
          <w:sz w:val="28"/>
          <w:szCs w:val="28"/>
          <w:highlight w:val="none"/>
          <w:lang w:eastAsia="zh-CN"/>
        </w:rPr>
        <w:t xml:space="preserve">智能化公厕采购项目</w:t>
      </w:r>
      <w:r>
        <w:rPr>
          <w:color w:val="auto"/>
          <w:highlight w:val="none"/>
        </w:rPr>
      </w:r>
    </w:p>
    <w:p>
      <w:pPr>
        <w:ind w:firstLine="1205"/>
        <w:spacing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招 标 人：沛县城市管理局</w:t>
      </w:r>
      <w:r>
        <w:rPr>
          <w:color w:val="auto"/>
          <w:highlight w:val="none"/>
        </w:rPr>
      </w:r>
    </w:p>
    <w:p>
      <w:pPr>
        <w:pStyle w:val="1012"/>
        <w:ind w:left="0" w:right="1470" w:firstLine="0"/>
        <w:spacing w:line="360" w:lineRule="auto"/>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ind w:left="0" w:right="1470" w:firstLine="0"/>
        <w:spacing w:line="360" w:lineRule="auto"/>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ind w:left="0" w:right="1470" w:firstLine="0"/>
        <w:spacing w:line="360" w:lineRule="auto"/>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ind w:left="0" w:right="1470" w:firstLine="0"/>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ind w:left="0" w:right="1470" w:firstLine="0"/>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ind w:firstLine="1205"/>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采购代理机构：</w:t>
      </w:r>
      <w:r>
        <w:rPr>
          <w:rFonts w:hint="eastAsia" w:ascii="仿宋" w:hAnsi="仿宋" w:eastAsia="仿宋" w:cs="仿宋"/>
          <w:b/>
          <w:bCs/>
          <w:color w:val="auto"/>
          <w:sz w:val="30"/>
          <w:szCs w:val="30"/>
          <w:highlight w:val="none"/>
          <w:lang w:eastAsia="zh-CN"/>
        </w:rPr>
        <w:t xml:space="preserve">徐州知守项目管理有限公司</w:t>
      </w:r>
      <w:r>
        <w:rPr>
          <w:color w:val="auto"/>
          <w:highlight w:val="none"/>
        </w:rPr>
      </w:r>
    </w:p>
    <w:p>
      <w:pPr>
        <w:pStyle w:val="1013"/>
        <w:ind w:firstLine="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rPr>
          <w:color w:val="auto"/>
          <w:highlight w:val="none"/>
        </w:rPr>
      </w:r>
    </w:p>
    <w:p>
      <w:pPr>
        <w:pStyle w:val="1013"/>
        <w:ind w:firstLine="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0"/>
          <w:szCs w:val="30"/>
          <w:highlight w:val="none"/>
        </w:rPr>
        <w:t xml:space="preserve">二〇二</w:t>
      </w:r>
      <w:r>
        <w:rPr>
          <w:rFonts w:hint="eastAsia" w:ascii="仿宋" w:hAnsi="仿宋" w:eastAsia="仿宋" w:cs="仿宋"/>
          <w:b/>
          <w:bCs/>
          <w:color w:val="auto"/>
          <w:sz w:val="30"/>
          <w:szCs w:val="30"/>
          <w:highlight w:val="none"/>
          <w:lang w:val="en-US" w:eastAsia="zh-CN"/>
        </w:rPr>
        <w:t xml:space="preserve">五</w:t>
      </w:r>
      <w:r>
        <w:rPr>
          <w:rFonts w:hint="eastAsia" w:ascii="仿宋" w:hAnsi="仿宋" w:eastAsia="仿宋" w:cs="仿宋"/>
          <w:b/>
          <w:bCs/>
          <w:color w:val="auto"/>
          <w:sz w:val="30"/>
          <w:szCs w:val="30"/>
          <w:highlight w:val="none"/>
        </w:rPr>
        <w:t xml:space="preserve">年</w:t>
      </w:r>
      <w:r>
        <w:rPr>
          <w:rFonts w:hint="eastAsia" w:ascii="仿宋" w:hAnsi="仿宋" w:eastAsia="仿宋" w:cs="仿宋"/>
          <w:b/>
          <w:bCs/>
          <w:color w:val="auto"/>
          <w:sz w:val="30"/>
          <w:szCs w:val="30"/>
          <w:highlight w:val="none"/>
        </w:rPr>
        <w:t xml:space="preserve">十</w:t>
      </w:r>
      <w:r>
        <w:rPr>
          <w:rFonts w:hint="eastAsia" w:ascii="仿宋" w:hAnsi="仿宋" w:eastAsia="仿宋" w:cs="仿宋"/>
          <w:b/>
          <w:bCs/>
          <w:color w:val="auto"/>
          <w:sz w:val="30"/>
          <w:szCs w:val="30"/>
          <w:highlight w:val="none"/>
        </w:rPr>
        <w:t xml:space="preserve">月</w:t>
      </w:r>
      <w:r>
        <w:rPr>
          <w:color w:val="auto"/>
          <w:highlight w:val="none"/>
        </w:rPr>
      </w:r>
    </w:p>
    <w:p>
      <w:pPr>
        <w:pStyle w:val="1013"/>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rPr>
          <w:color w:val="auto"/>
          <w:highlight w:val="none"/>
        </w:rPr>
      </w:r>
    </w:p>
    <w:p>
      <w:pPr>
        <w:pStyle w:val="1013"/>
        <w:ind w:firstLine="0"/>
        <w:jc w:val="center"/>
        <w:rPr>
          <w:rFonts w:hint="eastAsia" w:ascii="仿宋" w:hAnsi="仿宋" w:eastAsia="仿宋" w:cs="仿宋"/>
          <w:b/>
          <w:color w:val="auto"/>
          <w:sz w:val="44"/>
          <w:highlight w:val="none"/>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b/>
          <w:color w:val="auto"/>
          <w:sz w:val="44"/>
          <w:highlight w:val="none"/>
        </w:rPr>
      </w:r>
      <w:r>
        <w:rPr>
          <w:color w:val="auto"/>
          <w:highlight w:val="none"/>
        </w:rPr>
      </w:r>
    </w:p>
    <w:p>
      <w:pPr>
        <w:pStyle w:val="1013"/>
        <w:ind w:firstLine="0"/>
        <w:jc w:val="center"/>
        <w:rPr>
          <w:rFonts w:hint="eastAsia" w:ascii="仿宋" w:hAnsi="仿宋" w:eastAsia="仿宋" w:cs="仿宋"/>
          <w:color w:val="auto"/>
          <w:sz w:val="44"/>
          <w:highlight w:val="none"/>
        </w:rPr>
      </w:pPr>
      <w:r>
        <w:rPr>
          <w:rFonts w:hint="eastAsia" w:ascii="仿宋" w:hAnsi="仿宋" w:eastAsia="仿宋" w:cs="仿宋"/>
          <w:color w:val="auto"/>
          <w:sz w:val="44"/>
          <w:highlight w:val="none"/>
        </w:rPr>
      </w:r>
      <w:r>
        <w:rPr>
          <w:color w:val="auto"/>
          <w:highlight w:val="none"/>
        </w:rPr>
      </w:r>
    </w:p>
    <w:p>
      <w:pPr>
        <w:pStyle w:val="1013"/>
        <w:ind w:firstLine="0"/>
        <w:jc w:val="center"/>
        <w:rPr>
          <w:rFonts w:hint="eastAsia" w:ascii="仿宋" w:hAnsi="仿宋" w:eastAsia="仿宋" w:cs="仿宋"/>
          <w:color w:val="auto"/>
          <w:sz w:val="44"/>
          <w:highlight w:val="none"/>
        </w:rPr>
      </w:pPr>
      <w:r>
        <w:rPr>
          <w:rFonts w:hint="eastAsia" w:ascii="仿宋" w:hAnsi="仿宋" w:eastAsia="仿宋" w:cs="仿宋"/>
          <w:color w:val="auto"/>
          <w:sz w:val="44"/>
          <w:highlight w:val="none"/>
        </w:rPr>
        <w:t xml:space="preserve">总目录</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第一章 投标邀请</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第二章 投标人须知</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第三章 投标资料表</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第四章 评标标准</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第五章 拟签订的合同文本</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第六章 采购需求</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第七章 投标文件相关格式</w:t>
      </w:r>
      <w:r>
        <w:rPr>
          <w:color w:val="auto"/>
          <w:highlight w:val="none"/>
        </w:rP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highlight w:val="none"/>
        </w:rP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highlight w:val="none"/>
        </w:rPr>
      </w:r>
    </w:p>
    <w:p>
      <w:pPr>
        <w:jc w:val="left"/>
        <w:widowControl/>
        <w:rPr>
          <w:rFonts w:hint="eastAsia" w:ascii="仿宋" w:hAnsi="仿宋" w:eastAsia="仿宋" w:cs="仿宋"/>
          <w:color w:val="auto"/>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auto"/>
          <w:sz w:val="30"/>
          <w:szCs w:val="30"/>
          <w:highlight w:val="none"/>
        </w:rPr>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highlight w:val="none"/>
        </w:rPr>
      </w:r>
    </w:p>
    <w:p>
      <w:pPr>
        <w:jc w:val="center"/>
        <w:rPr>
          <w:rFonts w:hint="eastAsia" w:ascii="仿宋" w:hAnsi="仿宋" w:eastAsia="仿宋" w:cs="仿宋"/>
          <w:color w:val="auto"/>
          <w:sz w:val="24"/>
          <w:highlight w:val="none"/>
        </w:rPr>
      </w:pPr>
      <w:r>
        <w:rPr>
          <w:rFonts w:hint="eastAsia" w:ascii="仿宋" w:hAnsi="仿宋" w:eastAsia="仿宋" w:cs="仿宋"/>
          <w:color w:val="auto"/>
          <w:sz w:val="30"/>
          <w:szCs w:val="30"/>
          <w:highlight w:val="none"/>
        </w:rPr>
        <w:t xml:space="preserve">第一章  投标邀请</w:t>
      </w:r>
      <w:r>
        <w:rPr>
          <w:color w:val="auto"/>
          <w:highlight w:val="none"/>
        </w:rP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eastAsia="zh-CN"/>
        </w:rPr>
        <w:t xml:space="preserve">徐州知守项目管理有限公司</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lang w:eastAsia="zh-CN"/>
        </w:rPr>
        <w:t xml:space="preserve">智能化公厕采购项目</w:t>
      </w:r>
      <w:r>
        <w:rPr>
          <w:rFonts w:hint="eastAsia" w:ascii="仿宋" w:hAnsi="仿宋" w:eastAsia="仿宋" w:cs="仿宋"/>
          <w:color w:val="auto"/>
          <w:sz w:val="24"/>
          <w:highlight w:val="none"/>
        </w:rPr>
        <w:t xml:space="preserve">进行公开招标采购，现欢迎符合相关条件的投标人投标。</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一、项目名称和项目编号</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智能化公厕采购项目</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JSZC-320322-XZZS-G2025-0001</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二、投标人的资格要求：</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见本项目公开招标公告。</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三、获取招标文件</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获取招标文件的时间期限：</w:t>
      </w:r>
      <w:r>
        <w:rPr>
          <w:rFonts w:hint="eastAsia" w:ascii="仿宋" w:hAnsi="仿宋" w:eastAsia="仿宋" w:cs="仿宋"/>
          <w:color w:val="auto"/>
          <w:sz w:val="24"/>
          <w:highlight w:val="none"/>
        </w:rPr>
        <w:t xml:space="preserve">自本公告发布之日起5个工作日。</w:t>
      </w:r>
      <w:r>
        <w:rPr>
          <w:rFonts w:hint="eastAsia" w:ascii="仿宋" w:hAnsi="仿宋" w:eastAsia="仿宋" w:cs="仿宋"/>
          <w:color w:val="auto"/>
          <w:sz w:val="24"/>
          <w:highlight w:val="none"/>
        </w:rPr>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开标时间</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年11 月04日09点3</w:t>
      </w:r>
      <w:r>
        <w:rPr>
          <w:rFonts w:hint="eastAsia" w:ascii="仿宋" w:hAnsi="仿宋" w:eastAsia="仿宋" w:cs="仿宋"/>
          <w:color w:val="auto"/>
          <w:sz w:val="24"/>
          <w:highlight w:val="none"/>
        </w:rPr>
        <w:t xml:space="preserve">0分</w:t>
      </w:r>
      <w:r>
        <w:rPr>
          <w:rFonts w:hint="eastAsia" w:ascii="仿宋" w:hAnsi="仿宋" w:eastAsia="仿宋" w:cs="仿宋"/>
          <w:color w:val="auto"/>
          <w:sz w:val="24"/>
          <w:highlight w:val="none"/>
        </w:rPr>
        <w:t xml:space="preserve">（北京时间）</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开标地点：“苏采云”系统“开标大厅”或进入徐州政府采购网-－业务工作－－用户登录，点击“苏采云”进入系统“开标大厅”。</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本项目为政府采购电子招标投标。</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1.投标准备：“苏采云”系统用户注册－－获取</w:t>
      </w:r>
      <w:bookmarkStart w:id="61" w:name="_GoBack"/>
      <w:r>
        <w:rPr>
          <w:color w:val="auto"/>
          <w:highlight w:val="none"/>
        </w:rPr>
      </w:r>
      <w:bookmarkEnd w:id="61"/>
      <w:r>
        <w:rPr>
          <w:rFonts w:hint="eastAsia" w:ascii="仿宋" w:hAnsi="仿宋" w:eastAsia="仿宋" w:cs="仿宋"/>
          <w:color w:val="auto"/>
          <w:sz w:val="24"/>
          <w:highlight w:val="none"/>
        </w:rPr>
        <w:t xml:space="preserve">“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5.采购代理机构将数据电文形式的招标文件加载至“苏采云”系统，供潜在投标人下载或者查阅。</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6．招标文件售价：免费</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四、投标有关信息</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1.投标截止时间：</w:t>
      </w:r>
      <w:r>
        <w:rPr>
          <w:rFonts w:hint="eastAsia" w:ascii="仿宋" w:hAnsi="仿宋" w:eastAsia="仿宋" w:cs="仿宋"/>
          <w:b w:val="0"/>
          <w:bCs w:val="0"/>
          <w:color w:val="auto"/>
          <w:sz w:val="24"/>
          <w:highlight w:val="none"/>
        </w:rPr>
        <w:t xml:space="preserve">202</w:t>
      </w: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年11月04日</w:t>
      </w:r>
      <w:r>
        <w:rPr>
          <w:rFonts w:hint="eastAsia" w:ascii="仿宋" w:hAnsi="仿宋" w:eastAsia="仿宋" w:cs="仿宋"/>
          <w:color w:val="auto"/>
          <w:sz w:val="24"/>
          <w:highlight w:val="none"/>
        </w:rPr>
        <w:t xml:space="preserve">北</w:t>
      </w:r>
      <w:r>
        <w:rPr>
          <w:rFonts w:hint="eastAsia" w:ascii="仿宋" w:hAnsi="仿宋" w:eastAsia="仿宋" w:cs="仿宋"/>
          <w:color w:val="auto"/>
          <w:sz w:val="24"/>
          <w:highlight w:val="none"/>
        </w:rPr>
        <w:t xml:space="preserve">京时间09 ：30  </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2.开标时间</w:t>
      </w:r>
      <w:r>
        <w:rPr>
          <w:rFonts w:hint="eastAsia" w:ascii="仿宋" w:hAnsi="仿宋" w:eastAsia="仿宋" w:cs="仿宋"/>
          <w:b w:val="0"/>
          <w:bCs w:val="0"/>
          <w:color w:val="auto"/>
          <w:sz w:val="24"/>
          <w:highlight w:val="none"/>
        </w:rPr>
        <w:t xml:space="preserve">：</w:t>
      </w:r>
      <w:r>
        <w:rPr>
          <w:rFonts w:hint="eastAsia" w:ascii="仿宋" w:hAnsi="仿宋" w:eastAsia="仿宋" w:cs="仿宋"/>
          <w:b w:val="0"/>
          <w:bCs w:val="0"/>
          <w:color w:val="auto"/>
          <w:sz w:val="24"/>
          <w:highlight w:val="none"/>
        </w:rPr>
        <w:t xml:space="preserve">202</w:t>
      </w: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年11月04日</w:t>
      </w:r>
      <w:r>
        <w:rPr>
          <w:rFonts w:hint="eastAsia" w:ascii="仿宋" w:hAnsi="仿宋" w:eastAsia="仿宋" w:cs="仿宋"/>
          <w:color w:val="auto"/>
          <w:sz w:val="24"/>
          <w:highlight w:val="none"/>
        </w:rPr>
        <w:t xml:space="preserve">北京时间09:30  </w:t>
      </w:r>
      <w:r>
        <w:rPr>
          <w:color w:val="auto"/>
          <w:highlight w:val="none"/>
        </w:rP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3.开标地点：</w:t>
      </w:r>
      <w:r>
        <w:rPr>
          <w:rFonts w:hint="eastAsia" w:ascii="仿宋" w:hAnsi="仿宋" w:eastAsia="仿宋" w:cs="仿宋"/>
          <w:color w:val="auto"/>
          <w:sz w:val="24"/>
          <w:highlight w:val="none"/>
        </w:rPr>
        <w:t xml:space="preserve">“苏采云”系统（网址：</w:t>
      </w:r>
      <w:r>
        <w:rPr>
          <w:rFonts w:hint="eastAsia" w:ascii="仿宋" w:hAnsi="仿宋" w:eastAsia="仿宋" w:cs="仿宋"/>
          <w:color w:val="auto"/>
          <w:sz w:val="24"/>
          <w:highlight w:val="none"/>
        </w:rPr>
        <w:t xml:space="preserve"> http</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jszfcg</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jsczt</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cn</w:t>
      </w:r>
      <w:r>
        <w:rPr>
          <w:rFonts w:hint="eastAsia" w:ascii="仿宋" w:hAnsi="仿宋" w:eastAsia="仿宋" w:cs="仿宋"/>
          <w:color w:val="auto"/>
          <w:sz w:val="24"/>
          <w:highlight w:val="none"/>
        </w:rPr>
        <w:t xml:space="preserve">/）“开标大厅”或进入徐州政府采购网（网址：</w:t>
      </w:r>
      <w:r>
        <w:rPr>
          <w:rFonts w:hint="eastAsia" w:ascii="仿宋" w:hAnsi="仿宋" w:eastAsia="仿宋" w:cs="仿宋"/>
          <w:color w:val="auto"/>
          <w:sz w:val="24"/>
          <w:highlight w:val="none"/>
        </w:rPr>
        <w:t xml:space="preserve">http</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czj</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xz</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gov</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cn</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Home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HomeIndex</w:t>
      </w:r>
      <w:r>
        <w:rPr>
          <w:rFonts w:hint="eastAsia" w:ascii="仿宋" w:hAnsi="仿宋" w:eastAsia="仿宋" w:cs="仿宋"/>
          <w:color w:val="auto"/>
          <w:sz w:val="24"/>
          <w:highlight w:val="none"/>
        </w:rPr>
        <w:t xml:space="preserve">）－业务工作－用户登录，点击“苏采云”进入系统“开标大厅”。</w:t>
      </w:r>
      <w:r>
        <w:rPr>
          <w:color w:val="auto"/>
          <w:highlight w:val="none"/>
        </w:rP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五、采购人</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1．名称：沛县城市管理局</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2．地址：江苏省徐州市沛县汉邦路8号</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3．联系人：</w:t>
      </w:r>
      <w:r>
        <w:rPr>
          <w:rFonts w:hint="eastAsia" w:ascii="仿宋" w:hAnsi="仿宋" w:eastAsia="仿宋" w:cs="仿宋"/>
          <w:color w:val="auto"/>
          <w:sz w:val="24"/>
          <w:highlight w:val="none"/>
          <w:lang w:eastAsia="zh-CN"/>
        </w:rPr>
        <w:t xml:space="preserve">蔡</w:t>
      </w:r>
      <w:r>
        <w:rPr>
          <w:rFonts w:hint="eastAsia" w:ascii="仿宋" w:hAnsi="仿宋" w:eastAsia="仿宋" w:cs="仿宋"/>
          <w:color w:val="auto"/>
          <w:sz w:val="24"/>
          <w:highlight w:val="none"/>
          <w:lang w:val="en-US" w:eastAsia="zh-CN"/>
        </w:rPr>
        <w:t xml:space="preserve">坤</w:t>
      </w:r>
      <w:r>
        <w:rPr>
          <w:color w:val="auto"/>
          <w:highlight w:val="none"/>
        </w:rPr>
      </w:r>
    </w:p>
    <w:p>
      <w:pPr>
        <w:ind w:firstLine="480"/>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4. 联系方式：</w:t>
      </w:r>
      <w:r>
        <w:rPr>
          <w:rFonts w:hint="eastAsia" w:ascii="仿宋" w:hAnsi="仿宋" w:eastAsia="仿宋" w:cs="仿宋"/>
          <w:color w:val="auto"/>
          <w:sz w:val="24"/>
          <w:highlight w:val="none"/>
          <w:lang w:val="en-US" w:eastAsia="zh-CN"/>
        </w:rPr>
        <w:t xml:space="preserve">19905226715</w:t>
      </w:r>
      <w:r>
        <w:rPr>
          <w:color w:val="auto"/>
          <w:highlight w:val="none"/>
        </w:rP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六、采购代理机构</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1．名称：</w:t>
      </w:r>
      <w:r>
        <w:rPr>
          <w:rFonts w:hint="eastAsia" w:ascii="仿宋" w:hAnsi="仿宋" w:eastAsia="仿宋" w:cs="仿宋"/>
          <w:color w:val="auto"/>
          <w:sz w:val="24"/>
          <w:highlight w:val="none"/>
          <w:lang w:eastAsia="zh-CN"/>
        </w:rPr>
        <w:t xml:space="preserve">徐州知守项目管理有限公司</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2．地址：</w:t>
      </w:r>
      <w:r>
        <w:rPr>
          <w:rFonts w:hint="eastAsia" w:ascii="仿宋" w:hAnsi="仿宋" w:eastAsia="仿宋" w:cs="仿宋"/>
          <w:color w:val="auto"/>
          <w:sz w:val="24"/>
          <w:highlight w:val="none"/>
          <w:lang w:eastAsia="zh-CN"/>
        </w:rPr>
        <w:t xml:space="preserve">江苏省徐州市丰县宋楼镇工业园2号路45号</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rPr>
        <w:t xml:space="preserve">联系方法：</w:t>
      </w:r>
      <w:r>
        <w:rPr>
          <w:rFonts w:hint="eastAsia" w:ascii="仿宋" w:hAnsi="仿宋" w:eastAsia="仿宋" w:cs="仿宋"/>
          <w:color w:val="auto"/>
          <w:sz w:val="24"/>
          <w:highlight w:val="none"/>
          <w:lang w:val="en-US" w:eastAsia="zh-CN"/>
        </w:rPr>
        <w:t xml:space="preserve">魏工</w:t>
      </w:r>
      <w:r>
        <w:rPr>
          <w:rFonts w:hint="eastAsia" w:ascii="仿宋" w:hAnsi="仿宋" w:eastAsia="仿宋" w:cs="仿宋"/>
          <w:color w:val="auto"/>
          <w:sz w:val="24"/>
          <w:highlight w:val="none"/>
        </w:rPr>
        <w:t xml:space="preserve"> 邮编</w:t>
      </w:r>
      <w:r>
        <w:rPr>
          <w:rFonts w:hint="eastAsia" w:ascii="仿宋" w:hAnsi="仿宋" w:eastAsia="仿宋" w:cs="仿宋"/>
          <w:color w:val="auto"/>
          <w:sz w:val="24"/>
          <w:highlight w:val="none"/>
        </w:rPr>
        <w:t xml:space="preserve">：221600</w:t>
      </w:r>
      <w:r>
        <w:rPr>
          <w:color w:val="auto"/>
          <w:highlight w:val="none"/>
        </w:rPr>
      </w:r>
    </w:p>
    <w:p>
      <w:pPr>
        <w:ind w:firstLine="480"/>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4. 采购项目联系人：</w:t>
      </w:r>
      <w:r>
        <w:rPr>
          <w:rFonts w:hint="eastAsia" w:ascii="仿宋" w:hAnsi="仿宋" w:eastAsia="仿宋" w:cs="仿宋"/>
          <w:color w:val="auto"/>
          <w:sz w:val="24"/>
          <w:highlight w:val="none"/>
          <w:lang w:val="en-US" w:eastAsia="zh-CN"/>
        </w:rPr>
        <w:t xml:space="preserve">魏工</w:t>
      </w:r>
      <w:r>
        <w:rPr>
          <w:rFonts w:hint="eastAsia" w:ascii="仿宋" w:hAnsi="仿宋" w:eastAsia="仿宋" w:cs="仿宋"/>
          <w:color w:val="auto"/>
          <w:sz w:val="24"/>
          <w:highlight w:val="none"/>
        </w:rPr>
        <w:t xml:space="preserve">      电话：</w:t>
      </w:r>
      <w:r>
        <w:rPr>
          <w:rFonts w:hint="eastAsia" w:ascii="仿宋" w:hAnsi="仿宋" w:eastAsia="仿宋" w:cs="仿宋"/>
          <w:color w:val="auto"/>
          <w:sz w:val="24"/>
          <w:highlight w:val="none"/>
          <w:lang w:val="en-US" w:eastAsia="zh-CN"/>
        </w:rPr>
        <w:t xml:space="preserve">18651358982</w:t>
      </w:r>
      <w:r>
        <w:rPr>
          <w:color w:val="auto"/>
          <w:highlight w:val="none"/>
        </w:rP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jc w:val="right"/>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rPr>
        <w:t xml:space="preserve">10月</w:t>
      </w:r>
      <w:r>
        <w:rPr>
          <w:color w:val="auto"/>
          <w:highlight w:val="none"/>
        </w:rPr>
      </w:r>
    </w:p>
    <w:p>
      <w:pPr>
        <w:jc w:val="cente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br w:type="page" w:clear="all"/>
      </w:r>
      <w:r>
        <w:rPr>
          <w:color w:val="auto"/>
          <w:highlight w:val="none"/>
        </w:rPr>
      </w:r>
    </w:p>
    <w:p>
      <w:pPr>
        <w:jc w:val="center"/>
        <w:spacing w:line="40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第二章  投标人须知</w:t>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目录</w:t>
      </w:r>
      <w:r>
        <w:rPr>
          <w:color w:val="auto"/>
          <w:highlight w:val="none"/>
        </w:rPr>
      </w:r>
    </w:p>
    <w:p>
      <w:pPr>
        <w:ind w:left="42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一、总则</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二、招标</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三、投标</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四、开标、评标</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五、中标和合同</w:t>
      </w:r>
      <w:r>
        <w:rPr>
          <w:color w:val="auto"/>
          <w:highlight w:val="none"/>
        </w:rP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六、询问和质疑</w:t>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一、总则</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采购人</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1.1采购人是指依法进行政府采购的国家机关、事业单位、团体组织。本项目采购人：见招标文件第三章《投标资料表》。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政府采购方式</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2.1政府采购货物和服务（以下简称货物服务）</w:t>
      </w:r>
      <w:r>
        <w:rPr>
          <w:rFonts w:hint="eastAsia" w:ascii="仿宋" w:hAnsi="仿宋" w:eastAsia="仿宋" w:cs="仿宋"/>
          <w:color w:val="auto"/>
          <w:sz w:val="24"/>
          <w:highlight w:val="none"/>
        </w:rPr>
        <w:t xml:space="preserve">招标分为公开招标和邀请招标。本次采购采用的政府采购方式：见招标文件第三章《投标资料表》。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 采购人应当在货物服务招标投标活动中落实节约能源、保护环境、扶持不发达地区和少数民族地区、促进中小企业发展等政府采购政策。</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 采购人委托采购代理机构代理招标的，采购代理机构应当在采购人委托的范围内依法开展采购活动。本项目采购代理机构：见招标文件第三章《投标资料表》。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 投标费用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投标人应承担所有与准备和参加投标有关的费用，无论投标的结果如何，采购人和采购代理机构对上述费用不承担任何责任和义务。</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二、招标</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 招标文件的内容</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7.1招标文件包括以下内容：</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第一章 投标邀请</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第二章 投标人须知</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第三章 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第四章 评标标准</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第五章 拟签订的合同文本</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第六章 采购需求</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第七章 投标文件相关格式</w:t>
      </w:r>
      <w:r>
        <w:rPr>
          <w:color w:val="auto"/>
          <w:highlight w:val="none"/>
        </w:rPr>
      </w:r>
    </w:p>
    <w:p>
      <w:pPr>
        <w:ind w:firstLine="3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 采购需求：见招标文件第六章《采购需求》。</w:t>
      </w:r>
      <w:r>
        <w:rPr>
          <w:color w:val="auto"/>
          <w:highlight w:val="none"/>
        </w:rPr>
      </w:r>
    </w:p>
    <w:p>
      <w:pPr>
        <w:ind w:firstLine="3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 采购项目预算金额、最高限价</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 采购项目预算金额：见招标文件第三章《投标资料表》。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 招标文件澄清或者修改</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10.1本项目对样品的要求：见招标文件第三章《投标资料表》。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投标有效期</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11.1投标有效期从提交投标文件的截止之日起算。</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11.2投标有效期： 见招标文件第三章《投标资料表》。</w:t>
      </w:r>
      <w:r>
        <w:rPr>
          <w:color w:val="auto"/>
          <w:highlight w:val="none"/>
        </w:rPr>
      </w:r>
    </w:p>
    <w:p>
      <w:pPr>
        <w:ind w:firstLine="3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招标文件售价</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12.1招标文件售价：见招标文件第三章《投标资料表》。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 采购代理机构代理费用的收取标准和方式</w:t>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 采购代理机构代理费用的收取标准和方式：见招标文件第三章《投标资料表》。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 现场考察或者开标前答疑会</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 在招标文件提供期限截止后。</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现场考察：见招标文件第三章《投标资料表》。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 开标前答疑会：见招标文件第三章《投标资料表》。</w:t>
      </w:r>
      <w:r>
        <w:rPr>
          <w:color w:val="auto"/>
          <w:highlight w:val="none"/>
        </w:rPr>
      </w:r>
    </w:p>
    <w:p>
      <w:pPr>
        <w:ind w:firstLine="3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 招标文件的澄清或者修改</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 终止招标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 投标人信用信息查询渠道及截止时点、信用信息查询记录和证据留存的具体方式、信用信息的使用规则等：见招标文件第三章《投标资料表》。</w:t>
      </w:r>
      <w:r>
        <w:rPr>
          <w:color w:val="auto"/>
          <w:highlight w:val="none"/>
        </w:rPr>
      </w:r>
    </w:p>
    <w:p>
      <w:pPr>
        <w:ind w:firstLine="3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三、投标</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18. 投标人</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 投标人，是指响应招标、参加投标竞争的法人、其他组织或者自然人。</w:t>
      </w:r>
      <w:r>
        <w:rPr>
          <w:color w:val="auto"/>
          <w:highlight w:val="none"/>
        </w:rPr>
      </w:r>
    </w:p>
    <w:p>
      <w:pPr>
        <w:ind w:firstLine="465"/>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 投标人应当遵循公平竞争的原则，不得恶意串通，不得妨碍其他投标人的竞争行为，不得损害采购人或者其他投标人的合法权益。</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 投标人的资格要求：见招标文件第三章《投标资料表》。</w:t>
      </w:r>
      <w:r>
        <w:rPr>
          <w:color w:val="auto"/>
          <w:highlight w:val="none"/>
        </w:rPr>
      </w:r>
    </w:p>
    <w:p>
      <w:pPr>
        <w:ind w:firstLine="24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 投标文件</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19.1 投标人应当按照招标文件的要求编制投标文件。投标文件应当对招标文件提出的要求和条件作出明确响应。</w:t>
      </w:r>
      <w:r>
        <w:rPr>
          <w:color w:val="auto"/>
          <w:highlight w:val="none"/>
        </w:rPr>
      </w:r>
    </w:p>
    <w:p>
      <w:pPr>
        <w:ind w:firstLine="2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19.2 投标文件编制要求：见招标文件第三章《投标资料表》。</w:t>
      </w:r>
      <w:r>
        <w:rPr>
          <w:color w:val="auto"/>
          <w:highlight w:val="none"/>
        </w:rPr>
      </w:r>
    </w:p>
    <w:p>
      <w:pPr>
        <w:pStyle w:val="1012"/>
        <w:ind w:left="0" w:firstLine="480"/>
        <w:rPr>
          <w:rFonts w:hint="eastAsia" w:ascii="仿宋" w:hAnsi="仿宋" w:cs="仿宋"/>
          <w:color w:val="auto"/>
          <w:sz w:val="24"/>
          <w:highlight w:val="none"/>
        </w:rPr>
      </w:pPr>
      <w:r>
        <w:rPr>
          <w:rFonts w:hint="eastAsia" w:ascii="仿宋" w:hAnsi="仿宋" w:cs="仿宋"/>
          <w:color w:val="auto"/>
          <w:sz w:val="24"/>
          <w:highlight w:val="none"/>
        </w:rPr>
        <w:t xml:space="preserve">19.3电子投标文件其他要求</w:t>
      </w:r>
      <w:r>
        <w:rPr>
          <w:color w:val="auto"/>
          <w:highlight w:val="none"/>
        </w:rPr>
      </w:r>
    </w:p>
    <w:p>
      <w:pPr>
        <w:pStyle w:val="1012"/>
        <w:ind w:left="0" w:firstLine="480"/>
        <w:rPr>
          <w:rFonts w:hint="eastAsia" w:ascii="仿宋" w:hAnsi="仿宋" w:cs="仿宋"/>
          <w:color w:val="auto"/>
          <w:sz w:val="24"/>
          <w:highlight w:val="none"/>
        </w:rPr>
      </w:pPr>
      <w:r>
        <w:rPr>
          <w:rFonts w:hint="eastAsia" w:ascii="仿宋" w:hAnsi="仿宋" w:cs="仿宋"/>
          <w:color w:val="auto"/>
          <w:sz w:val="24"/>
          <w:highlight w:val="none"/>
        </w:rPr>
        <w:t xml:space="preserve">（1）电子招标投标交易平台（即“苏采云”系统）相关要求是本招标文件的组成部分。</w:t>
      </w:r>
      <w:r>
        <w:rPr>
          <w:color w:val="auto"/>
          <w:highlight w:val="none"/>
        </w:rPr>
      </w:r>
    </w:p>
    <w:p>
      <w:pPr>
        <w:pStyle w:val="1012"/>
        <w:ind w:left="0" w:firstLine="480"/>
        <w:rPr>
          <w:rFonts w:hint="eastAsia" w:ascii="仿宋" w:hAnsi="仿宋" w:cs="仿宋"/>
          <w:color w:val="auto"/>
          <w:sz w:val="24"/>
          <w:highlight w:val="none"/>
        </w:rPr>
      </w:pPr>
      <w:r>
        <w:rPr>
          <w:rFonts w:hint="eastAsia" w:ascii="仿宋" w:hAnsi="仿宋" w:cs="仿宋"/>
          <w:color w:val="auto"/>
          <w:sz w:val="24"/>
          <w:highlight w:val="none"/>
        </w:rPr>
        <w:t xml:space="preserve">（2）投标人应对CA证书妥善保管，如被他人盗用投标，因此带来的结果均由投标人自行承担。</w:t>
      </w:r>
      <w:r>
        <w:rPr>
          <w:color w:val="auto"/>
          <w:highlight w:val="none"/>
        </w:rPr>
      </w:r>
    </w:p>
    <w:p>
      <w:pPr>
        <w:pStyle w:val="1012"/>
        <w:ind w:left="0" w:firstLine="480"/>
        <w:rPr>
          <w:rFonts w:hint="eastAsia" w:ascii="仿宋" w:hAnsi="仿宋" w:cs="仿宋"/>
          <w:color w:val="auto"/>
          <w:sz w:val="24"/>
          <w:highlight w:val="none"/>
        </w:rPr>
      </w:pPr>
      <w:r>
        <w:rPr>
          <w:rFonts w:hint="eastAsia" w:ascii="仿宋" w:hAnsi="仿宋" w:cs="仿宋"/>
          <w:color w:val="auto"/>
          <w:sz w:val="24"/>
          <w:highlight w:val="none"/>
        </w:rPr>
        <w:t xml:space="preserve">（3）投标人应当对招标文件提出的实质性要求和条件作出实质性响应，并在电子投标系统逐条应答。</w:t>
      </w:r>
      <w:r>
        <w:rPr>
          <w:color w:val="auto"/>
          <w:highlight w:val="none"/>
        </w:rPr>
      </w:r>
    </w:p>
    <w:p>
      <w:pPr>
        <w:pStyle w:val="1012"/>
        <w:ind w:left="0" w:firstLine="480"/>
        <w:rPr>
          <w:rFonts w:hint="eastAsia" w:ascii="仿宋" w:hAnsi="仿宋" w:cs="仿宋"/>
          <w:color w:val="auto"/>
          <w:sz w:val="24"/>
          <w:highlight w:val="none"/>
        </w:rPr>
      </w:pPr>
      <w:r>
        <w:rPr>
          <w:rFonts w:hint="eastAsia" w:ascii="仿宋" w:hAnsi="仿宋" w:cs="仿宋"/>
          <w:color w:val="auto"/>
          <w:sz w:val="24"/>
          <w:highlight w:val="none"/>
        </w:rPr>
        <w:t xml:space="preserve">（4）投标人应对要求提供的资格证明文件（如资质证书、资格证书）、技术资料（如白皮书、彩页、手册、检测报告等）扫描上传至投标系统。</w:t>
      </w:r>
      <w:r>
        <w:rPr>
          <w:color w:val="auto"/>
          <w:highlight w:val="none"/>
        </w:rPr>
      </w:r>
    </w:p>
    <w:p>
      <w:pPr>
        <w:ind w:firstLine="24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19.4 投标文件的份数：见招标文件第三章《投标资料表》。</w:t>
      </w:r>
      <w:r>
        <w:rPr>
          <w:color w:val="auto"/>
          <w:highlight w:val="none"/>
        </w:rPr>
      </w:r>
    </w:p>
    <w:p>
      <w:pPr>
        <w:ind w:firstLine="24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19.5 投标文件的退还：见招标文件第三章《投标资料表》。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19.6 投标文件的密封、签署、盖章要求：见招标文件第三章《投标资料表》。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19.7投标文件中承诺的投标有效期应当不少于招标文件中载明的投标有效期。</w:t>
      </w:r>
      <w:r>
        <w:rPr>
          <w:color w:val="auto"/>
          <w:highlight w:val="none"/>
        </w:rPr>
      </w:r>
    </w:p>
    <w:p>
      <w:pPr>
        <w:ind w:firstLine="48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19.8 投标人应当在招标文件要求提交投标文件的截止时间前，将投标文件提交至“苏采云”系统，逾期提交的投标文件，“苏采云”系统将自动拒收。各投标人应在规定时间内凭CA证书进行网上解密，</w:t>
      </w:r>
      <w:r>
        <w:rPr>
          <w:rFonts w:hint="eastAsia" w:ascii="仿宋" w:hAnsi="仿宋" w:eastAsia="仿宋" w:cs="仿宋"/>
          <w:b/>
          <w:bCs/>
          <w:color w:val="auto"/>
          <w:sz w:val="24"/>
          <w:highlight w:val="none"/>
        </w:rPr>
        <w:t xml:space="preserve">投标人未在规定时间内解密电子投标文件的，所导致的一切后果均由投标人承担。</w:t>
      </w:r>
      <w:r>
        <w:rPr>
          <w:color w:val="auto"/>
          <w:highlight w:val="none"/>
        </w:rPr>
      </w:r>
    </w:p>
    <w:p>
      <w:pPr>
        <w:ind w:firstLine="482"/>
        <w:rPr>
          <w:rFonts w:hint="eastAsia" w:ascii="仿宋" w:hAnsi="仿宋" w:eastAsia="仿宋" w:cs="仿宋"/>
          <w:b/>
          <w:i/>
          <w:color w:val="auto"/>
          <w:highlight w:val="none"/>
          <w:u w:val="single"/>
        </w:rPr>
      </w:pPr>
      <w:r>
        <w:rPr>
          <w:rFonts w:hint="eastAsia" w:ascii="仿宋" w:hAnsi="仿宋" w:eastAsia="仿宋" w:cs="仿宋"/>
          <w:color w:val="auto"/>
          <w:sz w:val="24"/>
          <w:highlight w:val="none"/>
        </w:rPr>
        <w:t xml:space="preserve">19.9 投标人在投标截止时间前，可以对所提交的投标文件进行补充、修改或者撤回。</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20. 投标报价要求</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 投标人应按照招标文件的要求报出分项价格和总价。</w:t>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20.2 投标人应按照招标文件的要求进行报价，如有偏离，应在《偏离表》中列出。</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20.3 </w:t>
      </w:r>
      <w:r>
        <w:rPr>
          <w:rFonts w:hint="eastAsia" w:ascii="仿宋" w:hAnsi="仿宋" w:eastAsia="仿宋" w:cs="仿宋"/>
          <w:bCs/>
          <w:color w:val="auto"/>
          <w:sz w:val="24"/>
          <w:highlight w:val="none"/>
        </w:rPr>
        <w:t xml:space="preserve">采购人不支付报价以外的任何费用。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 投标人的投标报价在合同执行过程中是固定的，不得以任何理由予以变更。</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20.5投标人只能提交一个投标报价，提交2个以上投标报价的投标文件在符合性审查时按照投标无效处理。</w:t>
      </w:r>
      <w:r>
        <w:rPr>
          <w:color w:val="auto"/>
          <w:highlight w:val="none"/>
        </w:rPr>
      </w:r>
    </w:p>
    <w:p>
      <w:pPr>
        <w:ind w:firstLine="480"/>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20.6 </w:t>
      </w:r>
      <w:r>
        <w:rPr>
          <w:rFonts w:hint="eastAsia" w:ascii="仿宋" w:hAnsi="仿宋" w:eastAsia="仿宋" w:cs="仿宋"/>
          <w:bCs/>
          <w:color w:val="auto"/>
          <w:sz w:val="24"/>
          <w:highlight w:val="none"/>
        </w:rPr>
        <w:t xml:space="preserve">不接受超过采购项目预算金额的投标报价。具体</w:t>
      </w:r>
      <w:r>
        <w:rPr>
          <w:rFonts w:hint="eastAsia" w:ascii="仿宋" w:hAnsi="仿宋" w:eastAsia="仿宋" w:cs="仿宋"/>
          <w:color w:val="auto"/>
          <w:sz w:val="24"/>
          <w:highlight w:val="none"/>
        </w:rPr>
        <w:t xml:space="preserve">见招标文件第三章《投标资料表》</w:t>
      </w:r>
      <w:r>
        <w:rPr>
          <w:rFonts w:hint="eastAsia" w:ascii="仿宋" w:hAnsi="仿宋" w:eastAsia="仿宋" w:cs="仿宋"/>
          <w:bCs/>
          <w:color w:val="auto"/>
          <w:sz w:val="24"/>
          <w:highlight w:val="none"/>
        </w:rPr>
        <w:t xml:space="preserve">。</w:t>
      </w:r>
      <w:r>
        <w:rPr>
          <w:color w:val="auto"/>
          <w:highlight w:val="none"/>
        </w:rPr>
      </w:r>
    </w:p>
    <w:p>
      <w:pPr>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rPr>
          <w:color w:val="auto"/>
          <w:highlight w:val="none"/>
        </w:rPr>
      </w:r>
    </w:p>
    <w:p>
      <w:pPr>
        <w:ind w:firstLine="48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21.投标人不需缴纳投标保证金。</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22.投标截止时间、投标文件开始接收时间、投标文件接收截止时间、投标文件的接收地点：</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22.1投标截止时间：见招标文件第三章《投标资料表》。</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22.2投标文件开始接收时间、投标文件接收截止时间、投标文件的接收地点：见招标文件第三章《投标资料表》。</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 本项目不允许分包。</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 相同品牌产品投标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 有下列情形之一的，视为投标人串通投标，其投标无效：</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（一）不同投标人的投标文件由同一单位或者个人编制；</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（二）不同投标人委托同一单位或者个人办理投标事宜；</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（三）不同投标人的投标文件载明的项目管理成员或者联系人员为同一人；</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（四）不同投标人的投标文件异常一致或者投标报价呈规律性差异；</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（五）不同投标人的投标文件相互混装。</w:t>
      </w:r>
      <w:r>
        <w:rPr>
          <w:color w:val="auto"/>
          <w:highlight w:val="none"/>
        </w:rP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四、开标、评标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 开标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开标应当在招标文件确定的提交投标文件截止时间的同一时间进行。开标地点应当为招标文件中预先确定的地点。开标时间及地点：见招标文件第三章《投标资料表》。</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开标由采购人或者采购代理机构主持，邀请投标人参加。</w:t>
      </w:r>
      <w:r>
        <w:rPr>
          <w:color w:val="auto"/>
          <w:highlight w:val="none"/>
        </w:rPr>
      </w:r>
    </w:p>
    <w:p>
      <w:pPr>
        <w:ind w:firstLine="480"/>
        <w:jc w:val="left"/>
        <w:widowControl/>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26.3所有投标单位凭CA证书在到达开标时间时，解密各自投标文件，由工作人员操作系统进行开标、并宣读各投标人的《开标一览表》；招标文件规定的需要宣布的内容：见招标文件第三章《投标资料表》。</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投标人不足3家的，不得开标。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26.4开标过程应当由采购人或者采购代理机构负责记录，由参加开标的各投标人代表和相关工作人员签字确认后随采购文件一并存档。</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投标人未参加开标的，视同认可开标结果。</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27.评标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公开招标采购项目开标结束后，采购人依法对投标人的资格进行审查。</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合格投标人不足3家的，不得评标。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评标工作由采购代理机构负责组织，并履行下列职责：</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（一）核对评审专家身份和采购人代表授权函，对评审专家在政府采购活动中的职责履行情况予以记录，并及时将有关违法违规行为向财政部门报告；</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（二）宣布评标纪律；</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（三）公布投标人名单，告知评审专家应当回避的情形；</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（四）组织评标委员会推选评标组长，采购人代表不得担任组长；</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（五）在评标期间采取必要的通讯管理措施，保证评标活动不受外界干扰；</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（六）根据评标委员会的要求介绍政府采购相关政策法规、招标文件；</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（七）维护评标秩序，监督评标委员会依照招标文件规定的评标程序、方法和标准进行独立评审，及时制止和纠正采购人代表、评审专家的倾向性言论或者违法违规行为；</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（八）核对评标结果，有《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政府采购</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货物和服务招标投标管理办法》第六十四条规定情形的，要求评标委员会复核或者书面说明理由，评标委员会拒绝的，应予记录并向本级财政部门报告；</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（九）评审工作完成后，按照规定向评审专家支付劳务报酬和异地评审差旅费，不得向评审专家以外的其他人员支付评审劳务报酬；</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（十）处理与评标有关的其他事项。</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27.3 评标委员会负责具体评标事务，并独立履行下列职责：</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（一）审查、评价投标文件是否符合招标文件的商务、技术等实质性要求；</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（二）要求投标人对投标文件有关事项作出澄清或者说明；</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（三）对投标文件进行比较和评价；</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（四）确定中标候选人名单，以及根据采购人委托直接确定中标人；</w:t>
      </w:r>
      <w:r>
        <w:rPr>
          <w:color w:val="auto"/>
          <w:highlight w:val="none"/>
        </w:rPr>
      </w:r>
    </w:p>
    <w:p>
      <w:pPr>
        <w:ind w:firstLine="36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（五）向采购人、采购代理机构或者有关部门报告评标中发现的违法行为。</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 评标委员会应当对符合资格的投标人的投标文件进行符合性审查，以确定其是否满足招标文件的实质性要求。</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 对于投标文件中含义不明确、同类问题表述不一致或者有明显文字和计算错误的内容，评标委员会应当以书面形式要求投标人作出必要的澄清、说明或者补正。</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 评标委员会应当按照招标文件中规定的评标方法和标准，对符合性审查合格的投标文件进行商务和技术评估，综合比较与评价。</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 评标方法、评标标准。 </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 评标方法分为最低评标价法和综合评分法。本项目的评标方法：见招标文件第三章《投标资料表》。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31.2 本项目的评标标准：见招标文件第四章《评标标准》。</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 投标文件报价出现前后不一致的，除招标文件另有规定外，按照下列规定修正：</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（一）投标文件中开标一览表（报价表）内容与投标文件中相应内容不一致的，以开标一览表（报价表）为准；</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（二）大写金额和小写金额不一致的，以大写金额为准；</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（三）单价金额小数点或者百分比有明显错位的，以开标一览表的总价为准，并修改单价；</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（四）总价金额与按单价汇总金额不一致的，以单价金额计算结果为准。</w:t>
      </w:r>
      <w:r>
        <w:rPr>
          <w:color w:val="auto"/>
          <w:highlight w:val="none"/>
        </w:rP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同时出现两种以上不一致的，按照前款规定的顺序修正。修正后的报价按照第29条第二款的规定经投标人确认后产生约束力，投标人不确认的，其投标无效。</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highlight w:val="none"/>
        </w:rPr>
      </w:r>
    </w:p>
    <w:p>
      <w:pPr>
        <w:ind w:firstLine="420"/>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 投标人存在下列情况之一的，投标无效：</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（一）投标文件未按招标文件要求签署、盖章的；</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（二）不具备招标文件中规定的资格要求的；</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（三）报价超过招标文件中规定的预算金额或者最高限价的；</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（四）投标文件含有采购人不能接受的附加条件的；</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（五）投标人未在规定时间内解密电子投标文件的；</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（六）投标文件未按招标文件规定的内容和要求填写的；没有在投标系统指定位置上传对应文件、材料的；</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（七）不同投标人投标文件内容存在非正常一致、项目组成员出现同一人、投标文件中错误（ 或异常）一致或雷同、电子文档信息一致或雷同的、投标报价呈规律性差异的；</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（八）法律法规和招标文件规定的其他无效情形。</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color w:val="auto"/>
          <w:highlight w:val="none"/>
        </w:rPr>
      </w:r>
    </w:p>
    <w:p>
      <w:pPr>
        <w:ind w:firstLine="420"/>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37.废标条款。</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出现下列情形之一的，应予废标：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（一）符合专业条件的投标人或者对招标文件作实质响应的投标人不足三家的；</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（二）出现影响采购公正的违法、违规行为的；</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（三）投标人的报价均超过了采购预算，采购人不能支付的；</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（四）因重大变故，采购任务取消的。</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color w:val="auto"/>
          <w:highlight w:val="none"/>
        </w:rPr>
      </w:pPr>
      <w:r>
        <w:rPr>
          <w:rFonts w:hint="eastAsia"/>
          <w:color w:val="auto"/>
          <w:highlight w:val="none"/>
        </w:rPr>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五、中标和合同</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 确定中标人</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38.1 采购代理机构应当在评标结束后2个工作日内将评标报告送采购人。</w:t>
      </w:r>
      <w:r>
        <w:rPr>
          <w:color w:val="auto"/>
          <w:highlight w:val="none"/>
        </w:rPr>
      </w:r>
    </w:p>
    <w:p>
      <w:pPr>
        <w:ind w:firstLine="465"/>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rPr>
          <w:color w:val="auto"/>
          <w:highlight w:val="none"/>
        </w:rPr>
      </w:r>
    </w:p>
    <w:p>
      <w:pPr>
        <w:ind w:firstLine="465"/>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 中标通知书发出后，采购人不得违法改变中标结果，中标人无正当理由不得放弃中标。</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41.签订政府采购合同</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41.1 采购人应当自中标通知书发出之日起30日内，按照招标文件和中标人投标文件的规定，与中标人签订书面合同。所签订的合同不得对招标文件确定的事项和中标人投标文件作实质性修改。</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采购人不得向中标人提出任何不合理的要求作为签订合同的条件。</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41.2</w:t>
      </w:r>
      <w:r>
        <w:rPr>
          <w:rFonts w:hint="eastAsia" w:ascii="仿宋" w:hAnsi="仿宋" w:eastAsia="仿宋" w:cs="仿宋"/>
          <w:color w:val="auto"/>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41.3 政府采购合同应当包括采购人与中标人的名称和住所、标的、数量、质量、价款或者报酬、履行期限及地点和方式、验收要求、违约责任、解决争议的方法等内容。</w:t>
      </w:r>
      <w:r>
        <w:rPr>
          <w:color w:val="auto"/>
          <w:highlight w:val="none"/>
        </w:rPr>
      </w:r>
    </w:p>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采购人与中标人应当根据合同的约定依法履行合同义务。</w:t>
      </w:r>
      <w:r>
        <w:rPr>
          <w:color w:val="auto"/>
          <w:highlight w:val="none"/>
        </w:rP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政府采购合同的履行、违约责任和解决争议的方法等适用《中华人民共和国民法典》。</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left="420"/>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六、询问和质疑</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24"/>
          <w:highlight w:val="none"/>
        </w:rPr>
        <w:t xml:space="preserve"> 43. 询问和质疑</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对政府采购活动实现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highlight w:val="none"/>
        </w:rP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color w:val="auto"/>
          <w:highlight w:val="none"/>
        </w:rP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第三章  投标资料表</w:t>
      </w:r>
      <w:r>
        <w:rPr>
          <w:color w:val="auto"/>
          <w:highlight w:val="none"/>
        </w:rPr>
      </w:r>
    </w:p>
    <w:p>
      <w:pPr>
        <w:pStyle w:val="101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该资料表的条款项号是与《投标人须知》中条款项号对应的，或增加的条款，是对《投标人须知》的补充、修改和完善，如果有矛盾的话，应以本资料表为准。</w:t>
      </w:r>
      <w:r>
        <w:rPr>
          <w:color w:val="auto"/>
          <w:highlight w:val="none"/>
        </w:rPr>
      </w:r>
    </w:p>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bl>
      <w:tblPr>
        <w:tblStyle w:val="1004"/>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2"/>
        <w:gridCol w:w="8539"/>
      </w:tblGrid>
      <w:tr>
        <w:trPr>
          <w:jc w:val="center"/>
        </w:trPr>
        <w:tc>
          <w:tcPr>
            <w:tcW w:w="1452" w:type="dxa"/>
            <w:vAlign w:val="top"/>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条款项号</w:t>
            </w:r>
            <w:r>
              <w:rPr>
                <w:color w:val="auto"/>
                <w:highlight w:val="none"/>
              </w:rPr>
            </w:r>
          </w:p>
        </w:tc>
        <w:tc>
          <w:tcPr>
            <w:tcW w:w="85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内容</w:t>
            </w:r>
            <w:r>
              <w:rPr>
                <w:color w:val="auto"/>
                <w:highlight w:val="none"/>
              </w:rPr>
            </w:r>
          </w:p>
        </w:tc>
      </w:tr>
      <w:tr>
        <w:trPr>
          <w:jc w:val="center"/>
        </w:trPr>
        <w:tc>
          <w:tcPr>
            <w:tcW w:w="1452" w:type="dxa"/>
            <w:vAlign w:val="top"/>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85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一、总则</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（一）</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本项目采购人：沛县城市管理局</w:t>
            </w:r>
            <w:r>
              <w:rPr>
                <w:color w:val="auto"/>
                <w:highlight w:val="none"/>
              </w:rP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本次采购采用的政府采购方式：公开招标</w:t>
            </w:r>
            <w:r>
              <w:rPr>
                <w:color w:val="auto"/>
                <w:highlight w:val="none"/>
              </w:rP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采购人确定的采购项目属性：货物</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（四）</w:t>
            </w:r>
            <w:r>
              <w:rPr>
                <w:color w:val="auto"/>
                <w:highlight w:val="none"/>
              </w:rPr>
            </w:r>
          </w:p>
        </w:tc>
        <w:tc>
          <w:tcPr>
            <w:tcW w:w="8539"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本项目是否为专门面向中小微企业采购的项目：</w:t>
            </w:r>
            <w:r>
              <w:rPr>
                <w:rFonts w:hint="eastAsia" w:ascii="仿宋" w:hAnsi="仿宋" w:eastAsia="仿宋" w:cs="仿宋"/>
                <w:b/>
                <w:bCs/>
                <w:color w:val="auto"/>
                <w:sz w:val="24"/>
                <w:highlight w:val="none"/>
              </w:rPr>
              <w:t xml:space="preserve">是</w:t>
            </w:r>
            <w:r>
              <w:rPr>
                <w:color w:val="auto"/>
                <w:highlight w:val="none"/>
              </w:rPr>
            </w:r>
          </w:p>
        </w:tc>
      </w:tr>
      <w:tr>
        <w:trPr>
          <w:jc w:val="center"/>
          <w:trHeight w:val="356"/>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（五）</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本项目采购代理机构：</w:t>
            </w:r>
            <w:r>
              <w:rPr>
                <w:rFonts w:hint="eastAsia" w:ascii="仿宋" w:hAnsi="仿宋" w:eastAsia="仿宋" w:cs="仿宋"/>
                <w:color w:val="auto"/>
                <w:sz w:val="24"/>
                <w:highlight w:val="none"/>
                <w:lang w:eastAsia="zh-CN"/>
              </w:rPr>
              <w:t xml:space="preserve">徐州知守项目管理有限公司</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（六）</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投标人的资格条件：</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一、符合《中华人民共和国政府采购法》第二十二条的规定；</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二、落实政府采购政策需满足的资格要求：节能产品政府采购；环境标志产品政府采购；政府采购促进中小企业发展；政府采购支持监狱企业发展；促进残疾人就业政府采购政策等。</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同时明确相关事项如下：</w:t>
            </w:r>
            <w:r>
              <w:rPr>
                <w:color w:val="auto"/>
                <w:highlight w:val="none"/>
              </w:rPr>
            </w:r>
          </w:p>
          <w:p>
            <w:pPr>
              <w:ind w:firstLine="2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1、本项目不接受联合体参与采购活动。</w:t>
            </w:r>
            <w:r>
              <w:rPr>
                <w:color w:val="auto"/>
                <w:highlight w:val="none"/>
              </w:rPr>
            </w:r>
          </w:p>
          <w:p>
            <w:pPr>
              <w:ind w:firstLine="24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2、单位负责人为同一人或者存在实际控制、直接控股、管理关系的不同投标人，不得参加同一合同项下的政府采购活动。</w:t>
            </w:r>
            <w:r>
              <w:rPr>
                <w:color w:val="auto"/>
                <w:highlight w:val="none"/>
              </w:rPr>
            </w:r>
          </w:p>
          <w:p>
            <w:pPr>
              <w:ind w:firstLine="24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3、为本采购项目提供整体设计、规范编制或者项目管理、监理、检测等服务的投标人，不得再参加本采购项目的采购活动。</w:t>
            </w:r>
            <w:r>
              <w:rPr>
                <w:color w:val="auto"/>
                <w:highlight w:val="none"/>
              </w:rPr>
            </w:r>
          </w:p>
          <w:p>
            <w:pPr>
              <w:ind w:firstLine="2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4、查询及使用投标人信用记录：</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1 \* GB2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⑴</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由采购人查询信用信息。</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2 \* GB2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⑵</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查询渠道包括：</w:t>
            </w:r>
            <w:r>
              <w:rPr>
                <w:color w:val="auto"/>
                <w:highlight w:val="none"/>
              </w:rPr>
            </w:r>
          </w:p>
          <w:p>
            <w:pPr>
              <w:ind w:firstLine="7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①“信用中国”网（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"http://www.creditchina.gov.cn/"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rPr>
                <w:color w:val="auto"/>
                <w:highlight w:val="none"/>
              </w:rPr>
            </w:r>
          </w:p>
          <w:p>
            <w:pPr>
              <w:ind w:firstLine="7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②中国政府采购网（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www.ccgp.gov.cn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rPr>
                <w:color w:val="auto"/>
                <w:highlight w:val="none"/>
              </w:rPr>
            </w:r>
          </w:p>
          <w:p>
            <w:pPr>
              <w:ind w:firstLine="7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③“信用江苏”网（www.jscredit.gov.cn）；</w:t>
            </w:r>
            <w:r>
              <w:rPr>
                <w:color w:val="auto"/>
                <w:highlight w:val="none"/>
              </w:rPr>
            </w:r>
          </w:p>
          <w:p>
            <w:pPr>
              <w:ind w:firstLine="7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④“诚信徐州”网（ </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"http://www.xuzhoucredit.gov.cn/"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http：//www.xuzhoucredit.gov.cn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rPr>
                <w:color w:val="auto"/>
                <w:highlight w:val="none"/>
              </w:rPr>
            </w:r>
          </w:p>
          <w:p>
            <w:pPr>
              <w:ind w:firstLine="72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⑤江苏省政府采购信用评价系统。</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3 \* GB2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⑶</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截止时点（查询环节）：评标结束前。</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⑷信用信息查询记录和证据留存的具体方式：</w:t>
            </w:r>
            <w:r>
              <w:rPr>
                <w:color w:val="auto"/>
                <w:highlight w:val="none"/>
              </w:rPr>
            </w:r>
          </w:p>
          <w:p>
            <w:pPr>
              <w:ind w:firstLine="7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网页截屏打印，与其他采购文件一并保存。</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⑸信用信息的使用规则：</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投标人信用评价结果参考期限从项目开标之日前三年起算，具体按照《江苏省政府采购信用管理暂行办法》（苏财规〔2018〕18号）执行。</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 xml:space="preserve">（七）</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招标代理服务费由中标人支付（详见附件）。</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tc>
        <w:tc>
          <w:tcPr>
            <w:tcW w:w="85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二、招标</w:t>
            </w:r>
            <w:r>
              <w:rPr>
                <w:color w:val="auto"/>
                <w:highlight w:val="none"/>
              </w:rP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（八）</w:t>
            </w:r>
            <w:r>
              <w:rPr>
                <w:color w:val="auto"/>
                <w:highlight w:val="none"/>
              </w:rPr>
            </w:r>
          </w:p>
        </w:tc>
        <w:tc>
          <w:tcPr>
            <w:tcW w:w="8539" w:type="dxa"/>
            <w:vAlign w:val="center"/>
            <w:textDirection w:val="lrTb"/>
            <w:noWrap w:val="false"/>
          </w:tcPr>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样品要求：本项目无需提供样品</w:t>
            </w:r>
            <w:r>
              <w:rPr>
                <w:color w:val="auto"/>
                <w:highlight w:val="none"/>
              </w:rP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（九）1</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（九）2</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安排现场考察（请投标人自行联系采购单位勘查现场）。</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（九）3</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不安排开标前答疑会</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tc>
        <w:tc>
          <w:tcPr>
            <w:tcW w:w="85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w:t>
            </w:r>
            <w:r>
              <w:rPr>
                <w:color w:val="auto"/>
                <w:highlight w:val="none"/>
              </w:rPr>
            </w:r>
          </w:p>
        </w:tc>
      </w:tr>
      <w:tr>
        <w:trPr>
          <w:jc w:val="center"/>
          <w:trHeight w:val="203"/>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投标文件的语言为中文</w:t>
            </w:r>
            <w:r>
              <w:rPr>
                <w:color w:val="auto"/>
                <w:highlight w:val="none"/>
              </w:rPr>
            </w:r>
          </w:p>
        </w:tc>
      </w:tr>
      <w:tr>
        <w:trPr>
          <w:jc w:val="center"/>
          <w:trHeight w:val="149"/>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（十一）</w:t>
            </w:r>
            <w:r>
              <w:rPr>
                <w:color w:val="auto"/>
                <w:highlight w:val="none"/>
              </w:rPr>
            </w:r>
          </w:p>
        </w:tc>
        <w:tc>
          <w:tcPr>
            <w:tcW w:w="8539" w:type="dxa"/>
            <w:vAlign w:val="center"/>
            <w:textDirection w:val="lrTb"/>
            <w:noWrap w:val="false"/>
          </w:tcPr>
          <w:p>
            <w:pPr>
              <w:pStyle w:val="1005"/>
              <w:spacing w:line="400" w:lineRule="exact"/>
              <w:tabs>
                <w:tab w:val="left" w:pos="57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投标人须用政府采购客户端工具导入“苏采云”系统下载的招标文件后，离线编制投标文件。招标文件、投标人操作手册及政府采购客户端工具可通过“苏采云”系统（网址：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http://jszfcg.jsc</w:t>
            </w:r>
            <w:bookmarkStart w:id="0" w:name="_Hlt91509264"/>
            <w:r>
              <w:rPr>
                <w:color w:val="auto"/>
                <w:highlight w:val="none"/>
              </w:rPr>
            </w:r>
            <w:bookmarkStart w:id="1" w:name="_Hlt91509263"/>
            <w:r>
              <w:rPr>
                <w:rFonts w:hint="eastAsia" w:ascii="仿宋" w:hAnsi="仿宋" w:eastAsia="仿宋" w:cs="仿宋"/>
                <w:color w:val="auto"/>
                <w:sz w:val="24"/>
                <w:highlight w:val="none"/>
              </w:rPr>
              <w:t xml:space="preserve">z</w:t>
            </w:r>
            <w:bookmarkEnd w:id="0"/>
            <w:r>
              <w:rPr>
                <w:color w:val="auto"/>
                <w:highlight w:val="none"/>
              </w:rPr>
            </w:r>
            <w:bookmarkEnd w:id="1"/>
            <w:r>
              <w:rPr>
                <w:rFonts w:hint="eastAsia" w:ascii="仿宋" w:hAnsi="仿宋" w:eastAsia="仿宋" w:cs="仿宋"/>
                <w:color w:val="auto"/>
                <w:sz w:val="24"/>
                <w:highlight w:val="none"/>
              </w:rPr>
              <w:t xml:space="preserve">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color w:val="auto"/>
                <w:highlight w:val="none"/>
              </w:rP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特别说明：政府采购客户端工具需要导出加密的投标文件（后缀名为zip）。投标文件不得超过350M！（具体以系统要求为准）</w:t>
            </w:r>
            <w:r>
              <w:rPr>
                <w:color w:val="auto"/>
                <w:highlight w:val="none"/>
              </w:rPr>
            </w:r>
          </w:p>
        </w:tc>
      </w:tr>
      <w:tr>
        <w:trPr>
          <w:jc w:val="center"/>
        </w:trPr>
        <w:tc>
          <w:tcPr>
            <w:tcW w:w="1452" w:type="dxa"/>
            <w:vAlign w:val="center"/>
            <w:textDirection w:val="lrTb"/>
            <w:noWrap w:val="false"/>
          </w:tcPr>
          <w:p>
            <w:pPr>
              <w:numPr>
                <w:ilvl w:val="0"/>
                <w:numId w:val="1"/>
              </w:num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tc>
        <w:tc>
          <w:tcPr>
            <w:tcW w:w="8539" w:type="dxa"/>
            <w:vAlign w:val="center"/>
            <w:textDirection w:val="lrTb"/>
            <w:noWrap w:val="false"/>
          </w:tcPr>
          <w:p>
            <w:pPr>
              <w:pStyle w:val="1005"/>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线上投标文件编制要求：</w:t>
            </w:r>
            <w:r>
              <w:rPr>
                <w:color w:val="auto"/>
                <w:highlight w:val="none"/>
              </w:rPr>
            </w:r>
          </w:p>
          <w:p>
            <w:pPr>
              <w:pStyle w:val="1005"/>
              <w:spacing w:line="400" w:lineRule="exact"/>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请按照以下要求（包括但不限于以下要求）制作：</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一、《投标函》（</w:t>
            </w:r>
            <w:r>
              <w:rPr>
                <w:rFonts w:hint="eastAsia" w:ascii="仿宋" w:hAnsi="仿宋" w:eastAsia="仿宋" w:cs="仿宋"/>
                <w:bCs/>
                <w:color w:val="auto"/>
                <w:sz w:val="24"/>
                <w:highlight w:val="none"/>
              </w:rPr>
              <w:t xml:space="preserve">加盖电子签章，格式见招标文件第七章《投标文件相关格式》）</w:t>
            </w:r>
            <w:r>
              <w:rPr>
                <w:rFonts w:hint="eastAsia" w:ascii="仿宋" w:hAnsi="仿宋" w:eastAsia="仿宋" w:cs="仿宋"/>
                <w:b/>
                <w:color w:val="auto"/>
                <w:sz w:val="24"/>
                <w:highlight w:val="none"/>
              </w:rPr>
              <w:t xml:space="preserve">（必须提供，否则在符合性审查时按照投标无效处理）；</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二、《法定代表人授权书》</w:t>
            </w:r>
            <w:r>
              <w:rPr>
                <w:rFonts w:hint="eastAsia" w:ascii="仿宋" w:hAnsi="仿宋" w:eastAsia="仿宋" w:cs="仿宋"/>
                <w:bCs/>
                <w:color w:val="auto"/>
                <w:sz w:val="24"/>
                <w:highlight w:val="none"/>
              </w:rPr>
              <w:t xml:space="preserve">（加盖电子签章，格式见招标文件《投标文件相关格式》）</w:t>
            </w:r>
            <w:r>
              <w:rPr>
                <w:rFonts w:hint="eastAsia" w:ascii="仿宋" w:hAnsi="仿宋" w:eastAsia="仿宋" w:cs="仿宋"/>
                <w:b/>
                <w:color w:val="auto"/>
                <w:sz w:val="24"/>
                <w:highlight w:val="none"/>
              </w:rPr>
              <w:t xml:space="preserve">（必须提供，否则在符合性审查时按照投标无效处理）；</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三、价格部分</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1、《开标一览表》</w:t>
            </w:r>
            <w:r>
              <w:rPr>
                <w:rFonts w:hint="eastAsia" w:ascii="仿宋" w:hAnsi="仿宋" w:eastAsia="仿宋" w:cs="仿宋"/>
                <w:bCs/>
                <w:color w:val="auto"/>
                <w:sz w:val="24"/>
                <w:highlight w:val="none"/>
              </w:rPr>
              <w:t xml:space="preserve">（加盖电子签章，格式见招标文件《投标文件相关格式》）；</w:t>
            </w:r>
            <w:r>
              <w:rPr>
                <w:rFonts w:hint="eastAsia" w:ascii="仿宋" w:hAnsi="仿宋" w:eastAsia="仿宋" w:cs="仿宋"/>
                <w:b/>
                <w:color w:val="auto"/>
                <w:sz w:val="24"/>
                <w:highlight w:val="none"/>
              </w:rPr>
              <w:t xml:space="preserve">（必须提供，否则在符合性审查时按照投标无效处理）；</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2、《分项价格表》</w:t>
            </w:r>
            <w:r>
              <w:rPr>
                <w:rFonts w:hint="eastAsia" w:ascii="仿宋" w:hAnsi="仿宋" w:eastAsia="仿宋" w:cs="仿宋"/>
                <w:bCs/>
                <w:color w:val="auto"/>
                <w:sz w:val="24"/>
                <w:highlight w:val="none"/>
              </w:rPr>
              <w:t xml:space="preserve">（加盖电子签章，格式见招标文件《投标文件相关格式》）</w:t>
            </w:r>
            <w:r>
              <w:rPr>
                <w:rFonts w:hint="eastAsia" w:ascii="仿宋" w:hAnsi="仿宋" w:eastAsia="仿宋" w:cs="仿宋"/>
                <w:b/>
                <w:color w:val="auto"/>
                <w:sz w:val="24"/>
                <w:highlight w:val="none"/>
              </w:rPr>
              <w:t xml:space="preserve">（必须提供，否则在符合性审查时按照投标无效处理）。</w:t>
            </w:r>
            <w:r>
              <w:rPr>
                <w:color w:val="auto"/>
                <w:highlight w:val="none"/>
              </w:rPr>
            </w:r>
          </w:p>
          <w:p>
            <w:pPr>
              <w:spacing w:line="288"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四、投标人应当提交的资格、资信证明文件</w:t>
            </w:r>
            <w:r>
              <w:rPr>
                <w:rFonts w:hint="eastAsia" w:ascii="仿宋" w:hAnsi="仿宋" w:eastAsia="仿宋" w:cs="仿宋"/>
                <w:b/>
                <w:color w:val="auto"/>
                <w:sz w:val="24"/>
                <w:highlight w:val="none"/>
              </w:rPr>
              <w:t xml:space="preserve">（1-5必须提供，否则在评标审查时按照投标无效处理）</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b/>
                <w:color w:val="auto"/>
                <w:sz w:val="24"/>
                <w:highlight w:val="none"/>
              </w:rPr>
              <w:t xml:space="preserve">投标人合法有效的法人的营业执照（或事业单位法人证书）或其他组织应提供合法证明文件的原件扫描件（加盖电子签章）。</w:t>
            </w:r>
            <w:r>
              <w:rPr>
                <w:color w:val="auto"/>
                <w:highlight w:val="none"/>
              </w:rPr>
            </w:r>
          </w:p>
          <w:p>
            <w:pPr>
              <w:spacing w:line="288" w:lineRule="auto"/>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
                <w:color w:val="auto"/>
                <w:sz w:val="24"/>
                <w:highlight w:val="none"/>
              </w:rPr>
              <w:t xml:space="preserve">财务状况报告，至少提供</w:t>
            </w:r>
            <w:r>
              <w:rPr>
                <w:rFonts w:hint="eastAsia" w:ascii="仿宋" w:hAnsi="仿宋" w:eastAsia="仿宋" w:cs="仿宋"/>
                <w:bCs/>
                <w:color w:val="auto"/>
                <w:sz w:val="24"/>
                <w:highlight w:val="none"/>
              </w:rPr>
              <w:t xml:space="preserve">：</w:t>
            </w:r>
            <w:r>
              <w:rPr>
                <w:color w:val="auto"/>
                <w:highlight w:val="none"/>
              </w:rPr>
            </w:r>
          </w:p>
          <w:p>
            <w:pPr>
              <w:ind w:firstLine="480"/>
              <w:spacing w:line="288" w:lineRule="auto"/>
              <w:widowControl/>
              <w:rPr>
                <w:rFonts w:hint="eastAsia" w:ascii="仿宋" w:hAnsi="仿宋" w:eastAsia="仿宋" w:cs="仿宋"/>
                <w:bCs/>
                <w:color w:val="auto"/>
                <w:sz w:val="24"/>
                <w:highlight w:val="none"/>
              </w:rPr>
            </w:pPr>
            <w:r>
              <w:rPr>
                <w:rStyle w:val="1016"/>
                <w:rFonts w:hint="eastAsia" w:ascii="仿宋" w:hAnsi="仿宋" w:eastAsia="仿宋" w:cs="仿宋"/>
                <w:bCs/>
                <w:color w:val="auto"/>
                <w:sz w:val="24"/>
                <w:highlight w:val="none"/>
              </w:rPr>
              <w:t xml:space="preserve">投标人的提交首次响应文件时间前6个月（</w:t>
            </w:r>
            <w:r>
              <w:rPr>
                <w:rFonts w:hint="eastAsia" w:ascii="仿宋" w:hAnsi="仿宋" w:eastAsia="仿宋" w:cs="仿宋"/>
                <w:bCs/>
                <w:color w:val="auto"/>
                <w:sz w:val="24"/>
                <w:highlight w:val="none"/>
              </w:rPr>
              <w:t xml:space="preserve">不含开标当月</w:t>
            </w:r>
            <w:r>
              <w:rPr>
                <w:rStyle w:val="1016"/>
                <w:rFonts w:hint="eastAsia" w:ascii="仿宋" w:hAnsi="仿宋" w:eastAsia="仿宋" w:cs="仿宋"/>
                <w:bCs/>
                <w:color w:val="auto"/>
                <w:sz w:val="24"/>
                <w:highlight w:val="none"/>
              </w:rPr>
              <w:t xml:space="preserve">）内任何日期的资产负债表和利润表月报表</w:t>
            </w:r>
            <w:r>
              <w:rPr>
                <w:rFonts w:hint="eastAsia" w:ascii="仿宋" w:hAnsi="仿宋" w:eastAsia="仿宋" w:cs="仿宋"/>
                <w:bCs/>
                <w:color w:val="auto"/>
                <w:sz w:val="24"/>
                <w:highlight w:val="none"/>
              </w:rPr>
              <w:t xml:space="preserve">（原件扫描件）</w:t>
            </w:r>
            <w:r>
              <w:rPr>
                <w:rStyle w:val="1016"/>
                <w:rFonts w:hint="eastAsia" w:ascii="仿宋" w:hAnsi="仿宋" w:eastAsia="仿宋" w:cs="仿宋"/>
                <w:bCs/>
                <w:color w:val="auto"/>
                <w:sz w:val="24"/>
                <w:highlight w:val="none"/>
              </w:rPr>
              <w:t xml:space="preserve">；或投标人基本开户银行出具的有效的资信证明</w:t>
            </w:r>
            <w:r>
              <w:rPr>
                <w:rFonts w:hint="eastAsia" w:ascii="仿宋" w:hAnsi="仿宋" w:eastAsia="仿宋" w:cs="仿宋"/>
                <w:bCs/>
                <w:color w:val="auto"/>
                <w:sz w:val="24"/>
                <w:highlight w:val="none"/>
              </w:rPr>
              <w:t xml:space="preserve">（原件扫描件）</w:t>
            </w:r>
            <w:r>
              <w:rPr>
                <w:rStyle w:val="1016"/>
                <w:rFonts w:hint="eastAsia" w:ascii="仿宋" w:hAnsi="仿宋" w:eastAsia="仿宋" w:cs="仿宋"/>
                <w:bCs/>
                <w:color w:val="auto"/>
                <w:sz w:val="24"/>
                <w:highlight w:val="none"/>
              </w:rPr>
              <w:t xml:space="preserve">；或财政部门认可的政府采购专业担保机构出具的有效的担保函</w:t>
            </w:r>
            <w:r>
              <w:rPr>
                <w:rFonts w:hint="eastAsia" w:ascii="仿宋" w:hAnsi="仿宋" w:eastAsia="仿宋" w:cs="仿宋"/>
                <w:bCs/>
                <w:color w:val="auto"/>
                <w:sz w:val="24"/>
                <w:highlight w:val="none"/>
              </w:rPr>
              <w:t xml:space="preserve">（原件扫描件）</w:t>
            </w:r>
            <w:r>
              <w:rPr>
                <w:rStyle w:val="1016"/>
                <w:rFonts w:hint="eastAsia" w:ascii="仿宋" w:hAnsi="仿宋" w:eastAsia="仿宋" w:cs="仿宋"/>
                <w:bCs/>
                <w:color w:val="auto"/>
                <w:sz w:val="24"/>
                <w:highlight w:val="none"/>
              </w:rPr>
              <w:t xml:space="preserve">；或合法有效的经第三方机构审计的年度财务审计报告</w:t>
            </w:r>
            <w:r>
              <w:rPr>
                <w:rFonts w:hint="eastAsia" w:ascii="仿宋" w:hAnsi="仿宋" w:eastAsia="仿宋" w:cs="仿宋"/>
                <w:bCs/>
                <w:color w:val="auto"/>
                <w:sz w:val="24"/>
                <w:highlight w:val="none"/>
              </w:rPr>
              <w:t xml:space="preserve">（原件扫描件）</w:t>
            </w:r>
            <w:r>
              <w:rPr>
                <w:rStyle w:val="1016"/>
                <w:rFonts w:hint="eastAsia" w:ascii="仿宋" w:hAnsi="仿宋" w:eastAsia="仿宋" w:cs="仿宋"/>
                <w:bCs/>
                <w:color w:val="auto"/>
                <w:sz w:val="24"/>
                <w:highlight w:val="none"/>
              </w:rPr>
              <w:t xml:space="preserve">（202</w:t>
            </w:r>
            <w:r>
              <w:rPr>
                <w:rStyle w:val="1016"/>
                <w:rFonts w:hint="eastAsia" w:ascii="仿宋" w:hAnsi="仿宋" w:eastAsia="仿宋" w:cs="仿宋"/>
                <w:bCs/>
                <w:color w:val="auto"/>
                <w:sz w:val="24"/>
                <w:highlight w:val="none"/>
                <w:lang w:val="en-US"/>
              </w:rPr>
              <w:t xml:space="preserve">4</w:t>
            </w:r>
            <w:r>
              <w:rPr>
                <w:rStyle w:val="1016"/>
                <w:rFonts w:hint="eastAsia" w:ascii="仿宋" w:hAnsi="仿宋" w:eastAsia="仿宋" w:cs="仿宋"/>
                <w:bCs/>
                <w:color w:val="auto"/>
                <w:sz w:val="24"/>
                <w:highlight w:val="none"/>
              </w:rPr>
              <w:t xml:space="preserve">年度，</w:t>
            </w:r>
            <w:r>
              <w:rPr>
                <w:rFonts w:hint="eastAsia" w:ascii="仿宋" w:hAnsi="仿宋" w:eastAsia="仿宋" w:cs="仿宋"/>
                <w:bCs/>
                <w:color w:val="auto"/>
                <w:sz w:val="24"/>
                <w:highlight w:val="none"/>
              </w:rPr>
              <w:t xml:space="preserve">应包括审计报告正文、资产负债表、现金流量表、利润表）。</w:t>
            </w:r>
            <w:r>
              <w:rPr>
                <w:color w:val="auto"/>
                <w:highlight w:val="none"/>
              </w:rPr>
            </w:r>
          </w:p>
          <w:p>
            <w:pPr>
              <w:spacing w:line="288" w:lineRule="auto"/>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color w:val="auto"/>
                <w:highlight w:val="none"/>
              </w:rPr>
            </w:r>
          </w:p>
          <w:p>
            <w:pPr>
              <w:spacing w:line="288" w:lineRule="auto"/>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rPr>
                <w:rFonts w:hint="eastAsia" w:ascii="仿宋" w:hAnsi="仿宋" w:eastAsia="仿宋" w:cs="仿宋"/>
                <w:b/>
                <w:color w:val="auto"/>
                <w:sz w:val="24"/>
                <w:highlight w:val="none"/>
              </w:rPr>
              <w:t xml:space="preserve">具备履行合同所必需的设备和专业技术能力的证明材料</w:t>
            </w:r>
            <w:r>
              <w:rPr>
                <w:rFonts w:hint="eastAsia" w:ascii="仿宋" w:hAnsi="仿宋" w:eastAsia="仿宋" w:cs="仿宋"/>
                <w:bCs/>
                <w:color w:val="auto"/>
                <w:sz w:val="24"/>
                <w:highlight w:val="none"/>
              </w:rPr>
              <w:t xml:space="preserve">。</w:t>
            </w:r>
            <w:r>
              <w:rPr>
                <w:color w:val="auto"/>
                <w:highlight w:val="none"/>
              </w:rPr>
            </w:r>
          </w:p>
          <w:p>
            <w:pPr>
              <w:pStyle w:val="1005"/>
              <w:ind w:firstLine="480"/>
              <w:spacing w:line="312" w:lineRule="auto"/>
              <w:rPr>
                <w:rFonts w:hint="eastAsia" w:ascii="仿宋" w:hAnsi="仿宋" w:eastAsia="仿宋" w:cs="仿宋"/>
                <w:bCs/>
                <w:color w:val="auto"/>
                <w:sz w:val="24"/>
                <w:highlight w:val="none"/>
              </w:rPr>
            </w:pPr>
            <w:r>
              <w:rPr>
                <w:rStyle w:val="1016"/>
                <w:rFonts w:hint="eastAsia" w:ascii="仿宋" w:hAnsi="仿宋" w:eastAsia="仿宋" w:cs="仿宋"/>
                <w:bCs/>
                <w:color w:val="auto"/>
                <w:sz w:val="24"/>
                <w:highlight w:val="none"/>
              </w:rPr>
              <w:t xml:space="preserve">投标文件中提供《具备履行合同所必需的设备和专业技术能力的书面声明（附证明材料扫描件）》，加盖电子签章，格式见本文件第七章《投标文件相关格式》</w:t>
            </w:r>
            <w:r>
              <w:rPr>
                <w:rFonts w:hint="eastAsia" w:ascii="仿宋" w:hAnsi="仿宋" w:eastAsia="仿宋" w:cs="仿宋"/>
                <w:bCs/>
                <w:color w:val="auto"/>
                <w:sz w:val="24"/>
                <w:highlight w:val="none"/>
              </w:rPr>
              <w:t xml:space="preserve">。</w:t>
            </w:r>
            <w:r>
              <w:rPr>
                <w:color w:val="auto"/>
                <w:highlight w:val="none"/>
              </w:rPr>
            </w:r>
          </w:p>
          <w:p>
            <w:pPr>
              <w:numPr>
                <w:ilvl w:val="0"/>
                <w:numId w:val="2"/>
              </w:numPr>
              <w:spacing w:line="288" w:lineRule="auto"/>
              <w:widowControl/>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投标人参加政府采购活动前3年内在经营活动中没有重大违法记录的书面声明</w:t>
            </w:r>
            <w:r>
              <w:rPr>
                <w:rFonts w:hint="eastAsia" w:ascii="仿宋" w:hAnsi="仿宋" w:eastAsia="仿宋" w:cs="仿宋"/>
                <w:bCs/>
                <w:color w:val="auto"/>
                <w:sz w:val="24"/>
                <w:highlight w:val="none"/>
              </w:rPr>
              <w:t xml:space="preserve">（加盖电子签章，格式见招标文件第七章《投标文件相关格式》）；</w:t>
            </w:r>
            <w:r>
              <w:rPr>
                <w:color w:val="auto"/>
                <w:highlight w:val="none"/>
              </w:rPr>
            </w:r>
          </w:p>
          <w:p>
            <w:pPr>
              <w:numPr>
                <w:ilvl w:val="0"/>
                <w:numId w:val="3"/>
              </w:numPr>
              <w:spacing w:line="288" w:lineRule="auto"/>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《偏离表》</w:t>
            </w:r>
            <w:r>
              <w:rPr>
                <w:rFonts w:hint="eastAsia" w:ascii="仿宋" w:hAnsi="仿宋" w:eastAsia="仿宋" w:cs="仿宋"/>
                <w:bCs/>
                <w:color w:val="auto"/>
                <w:sz w:val="24"/>
                <w:highlight w:val="none"/>
              </w:rPr>
              <w:t xml:space="preserve">（加盖电子签章，格式见招标文件第七章《投标文件相关格式》）（必须提供，否则在符合性审查时按照投标无效处理）。</w:t>
            </w:r>
            <w:r>
              <w:rPr>
                <w:color w:val="auto"/>
                <w:highlight w:val="none"/>
              </w:rP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color w:val="auto"/>
                <w:highlight w:val="none"/>
              </w:rP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7.投标人不是为本采购项目提供整体设计、规范编制或者项目管理、监理、检测等服务的供应商的书面声明。（加盖电子签章，格式见招标文件第七章《投标文件相关格式》）。 </w:t>
            </w:r>
            <w:r>
              <w:rPr>
                <w:color w:val="auto"/>
                <w:highlight w:val="none"/>
              </w:rP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六、技术部分</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1、技术部分。要求见本文件第四章《评标标准》和第六章《采购需求》；</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2、评分细则中评分得分需提供的相关证明文件扫描件。</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七、商务部分</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1、投标人业绩</w:t>
            </w:r>
            <w:r>
              <w:rPr>
                <w:rFonts w:hint="eastAsia" w:ascii="仿宋" w:hAnsi="仿宋" w:eastAsia="仿宋" w:cs="仿宋"/>
                <w:color w:val="auto"/>
                <w:sz w:val="24"/>
                <w:highlight w:val="none"/>
              </w:rPr>
              <w:t xml:space="preserve">见本文件第四章《评标标准》中《评分细则》。</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bCs/>
                <w:color w:val="auto"/>
                <w:sz w:val="24"/>
                <w:highlight w:val="none"/>
              </w:rPr>
              <w:t xml:space="preserve">、投标人其他证明文件及材料扫描件（加盖电子签章）</w:t>
            </w:r>
            <w:r>
              <w:rPr>
                <w:rFonts w:hint="eastAsia" w:ascii="仿宋" w:hAnsi="仿宋" w:eastAsia="仿宋" w:cs="仿宋"/>
                <w:color w:val="auto"/>
                <w:sz w:val="24"/>
                <w:highlight w:val="none"/>
              </w:rPr>
              <w:t xml:space="preserve">；</w:t>
            </w:r>
            <w:r>
              <w:rPr>
                <w:color w:val="auto"/>
                <w:highlight w:val="none"/>
              </w:rPr>
            </w:r>
          </w:p>
          <w:p>
            <w:pPr>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八、其他部分</w:t>
            </w:r>
            <w:r>
              <w:rPr>
                <w:color w:val="auto"/>
                <w:highlight w:val="none"/>
              </w:rPr>
            </w:r>
          </w:p>
          <w:p>
            <w:pPr>
              <w:pStyle w:val="1005"/>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1.企业报价优惠证明：</w:t>
            </w:r>
            <w:r>
              <w:rPr>
                <w:color w:val="auto"/>
                <w:highlight w:val="none"/>
              </w:rPr>
            </w:r>
          </w:p>
          <w:p>
            <w:pPr>
              <w:ind w:firstLine="480"/>
              <w:spacing w:line="288" w:lineRule="auto"/>
              <w:rPr>
                <w:rStyle w:val="1016"/>
                <w:rFonts w:hint="eastAsia" w:ascii="仿宋" w:hAnsi="仿宋" w:eastAsia="仿宋" w:cs="仿宋"/>
                <w:b/>
                <w:bCs/>
                <w:iCs/>
                <w:color w:val="auto"/>
                <w:sz w:val="24"/>
                <w:highlight w:val="none"/>
              </w:rPr>
            </w:pPr>
            <w:r>
              <w:rPr>
                <w:rStyle w:val="1016"/>
                <w:rFonts w:hint="eastAsia" w:ascii="仿宋" w:hAnsi="仿宋" w:eastAsia="仿宋" w:cs="仿宋"/>
                <w:b/>
                <w:bCs/>
                <w:iCs/>
                <w:color w:val="auto"/>
                <w:sz w:val="24"/>
                <w:highlight w:val="none"/>
              </w:rPr>
              <w:t xml:space="preserve">本项目属于专门面向中小微企业采购的项目，供应商应为中小企业 </w:t>
            </w:r>
            <w:r>
              <w:rPr>
                <w:color w:val="auto"/>
                <w:highlight w:val="none"/>
              </w:rPr>
            </w:r>
          </w:p>
          <w:p>
            <w:pPr>
              <w:ind w:firstLine="480"/>
              <w:spacing w:line="288" w:lineRule="auto"/>
              <w:rPr>
                <w:rStyle w:val="1016"/>
                <w:rFonts w:hint="eastAsia" w:ascii="仿宋" w:hAnsi="仿宋" w:eastAsia="仿宋" w:cs="仿宋"/>
                <w:b/>
                <w:bCs/>
                <w:iCs/>
                <w:color w:val="auto"/>
                <w:sz w:val="24"/>
                <w:highlight w:val="none"/>
              </w:rPr>
            </w:pPr>
            <w:r>
              <w:rPr>
                <w:rStyle w:val="1016"/>
                <w:rFonts w:hint="eastAsia" w:ascii="仿宋" w:hAnsi="仿宋" w:eastAsia="仿宋" w:cs="仿宋"/>
                <w:b/>
                <w:bCs/>
                <w:iCs/>
                <w:color w:val="auto"/>
                <w:sz w:val="24"/>
                <w:highlight w:val="none"/>
              </w:rPr>
              <w:t xml:space="preserve">（含中型、小型、微型企业，下同），必须提供《中小企业声明函》原件，否则投标将被拒绝（电子签章，</w:t>
            </w:r>
            <w:r>
              <w:rPr>
                <w:rStyle w:val="1016"/>
                <w:rFonts w:hint="eastAsia" w:ascii="仿宋" w:hAnsi="仿宋" w:eastAsia="仿宋" w:cs="仿宋"/>
                <w:b/>
                <w:bCs/>
                <w:iCs/>
                <w:color w:val="auto"/>
                <w:sz w:val="24"/>
                <w:highlight w:val="none"/>
              </w:rPr>
              <w:t xml:space="preserve">填写完整</w:t>
            </w:r>
            <w:r>
              <w:rPr>
                <w:rStyle w:val="1016"/>
                <w:rFonts w:hint="eastAsia" w:ascii="仿宋" w:hAnsi="仿宋" w:eastAsia="仿宋" w:cs="仿宋"/>
                <w:b/>
                <w:bCs/>
                <w:iCs/>
                <w:color w:val="auto"/>
                <w:sz w:val="24"/>
                <w:highlight w:val="none"/>
              </w:rPr>
              <w:t xml:space="preserve">。格式见《投标文件》附件）。《中小企业声明函》查询渠道参考工业和信息化部发布的中小企业规模自测小程序；</w:t>
            </w:r>
            <w:r>
              <w:rPr>
                <w:color w:val="auto"/>
                <w:highlight w:val="none"/>
              </w:rPr>
            </w:r>
          </w:p>
          <w:p>
            <w:pPr>
              <w:ind w:firstLine="480"/>
              <w:spacing w:line="288" w:lineRule="auto"/>
              <w:rPr>
                <w:rStyle w:val="1016"/>
                <w:rFonts w:hint="eastAsia" w:ascii="仿宋" w:hAnsi="仿宋" w:eastAsia="仿宋" w:cs="仿宋"/>
                <w:iCs/>
                <w:color w:val="auto"/>
                <w:sz w:val="24"/>
                <w:highlight w:val="none"/>
              </w:rPr>
            </w:pPr>
            <w:r>
              <w:rPr>
                <w:rStyle w:val="1016"/>
                <w:rFonts w:hint="eastAsia" w:ascii="仿宋" w:hAnsi="仿宋" w:eastAsia="仿宋" w:cs="仿宋"/>
                <w:iCs/>
                <w:color w:val="auto"/>
                <w:sz w:val="24"/>
                <w:highlight w:val="none"/>
              </w:rPr>
              <w:t xml:space="preserve">注：在政府采购活动中，投标人提供的货物、工程或者服务符合下列情形的，享受本办法规定的中小企业扶持政策：</w:t>
            </w:r>
            <w:r>
              <w:rPr>
                <w:color w:val="auto"/>
                <w:highlight w:val="none"/>
              </w:rPr>
            </w:r>
          </w:p>
          <w:p>
            <w:pPr>
              <w:ind w:firstLine="480"/>
              <w:spacing w:line="288" w:lineRule="auto"/>
              <w:rPr>
                <w:rStyle w:val="1016"/>
                <w:rFonts w:hint="eastAsia" w:ascii="仿宋" w:hAnsi="仿宋" w:eastAsia="仿宋" w:cs="仿宋"/>
                <w:iCs/>
                <w:color w:val="auto"/>
                <w:sz w:val="24"/>
                <w:highlight w:val="none"/>
              </w:rPr>
            </w:pPr>
            <w:r>
              <w:rPr>
                <w:rStyle w:val="1016"/>
                <w:rFonts w:hint="eastAsia" w:ascii="仿宋" w:hAnsi="仿宋" w:eastAsia="仿宋" w:cs="仿宋"/>
                <w:iCs/>
                <w:color w:val="auto"/>
                <w:sz w:val="24"/>
                <w:highlight w:val="none"/>
              </w:rPr>
              <w:t xml:space="preserve">①在货物采购项目中，货物由中小企业制造，即货物由中小企业生产且使用该中小企业商号或者注册商标；</w:t>
            </w:r>
            <w:r>
              <w:rPr>
                <w:color w:val="auto"/>
                <w:highlight w:val="none"/>
              </w:rPr>
            </w:r>
          </w:p>
          <w:p>
            <w:pPr>
              <w:ind w:firstLine="480"/>
              <w:spacing w:line="288" w:lineRule="auto"/>
              <w:rPr>
                <w:rStyle w:val="1016"/>
                <w:rFonts w:hint="eastAsia" w:ascii="仿宋" w:hAnsi="仿宋" w:eastAsia="仿宋" w:cs="仿宋"/>
                <w:iCs/>
                <w:color w:val="auto"/>
                <w:sz w:val="24"/>
                <w:highlight w:val="none"/>
              </w:rPr>
            </w:pPr>
            <w:r>
              <w:rPr>
                <w:rStyle w:val="1016"/>
                <w:rFonts w:hint="eastAsia" w:ascii="仿宋" w:hAnsi="仿宋" w:eastAsia="仿宋" w:cs="仿宋"/>
                <w:iCs/>
                <w:color w:val="auto"/>
                <w:sz w:val="24"/>
                <w:highlight w:val="none"/>
              </w:rPr>
              <w:t xml:space="preserve">②在工程采购项目中，工程由中小企业承建，即工程施工单位为中小企业；</w:t>
            </w:r>
            <w:r>
              <w:rPr>
                <w:color w:val="auto"/>
                <w:highlight w:val="none"/>
              </w:rPr>
            </w:r>
          </w:p>
          <w:p>
            <w:pPr>
              <w:ind w:firstLine="480"/>
              <w:spacing w:line="288" w:lineRule="auto"/>
              <w:rPr>
                <w:rStyle w:val="1016"/>
                <w:rFonts w:hint="eastAsia" w:ascii="仿宋" w:hAnsi="仿宋" w:eastAsia="仿宋" w:cs="仿宋"/>
                <w:iCs/>
                <w:color w:val="auto"/>
                <w:sz w:val="24"/>
                <w:highlight w:val="none"/>
              </w:rPr>
            </w:pPr>
            <w:r>
              <w:rPr>
                <w:rStyle w:val="1016"/>
                <w:rFonts w:hint="eastAsia" w:ascii="仿宋" w:hAnsi="仿宋" w:eastAsia="仿宋" w:cs="仿宋"/>
                <w:iCs/>
                <w:color w:val="auto"/>
                <w:sz w:val="24"/>
                <w:highlight w:val="none"/>
              </w:rPr>
              <w:t xml:space="preserve">③在服务采购项目中，服务由中小企业承接，即提供服务的人员为中小企业依法订立劳动合同的从业人员。</w:t>
            </w:r>
            <w:r>
              <w:rPr>
                <w:color w:val="auto"/>
                <w:highlight w:val="none"/>
              </w:rPr>
            </w:r>
          </w:p>
          <w:p>
            <w:pPr>
              <w:ind w:firstLine="480"/>
              <w:spacing w:line="288" w:lineRule="auto"/>
              <w:rPr>
                <w:rStyle w:val="1016"/>
                <w:rFonts w:hint="eastAsia" w:ascii="仿宋" w:hAnsi="仿宋" w:eastAsia="仿宋" w:cs="仿宋"/>
                <w:iCs/>
                <w:color w:val="auto"/>
                <w:sz w:val="24"/>
                <w:highlight w:val="none"/>
              </w:rPr>
            </w:pPr>
            <w:r>
              <w:rPr>
                <w:rStyle w:val="1016"/>
                <w:rFonts w:hint="eastAsia" w:ascii="仿宋" w:hAnsi="仿宋" w:eastAsia="仿宋" w:cs="仿宋"/>
                <w:iCs/>
                <w:color w:val="auto"/>
                <w:sz w:val="24"/>
                <w:highlight w:val="none"/>
              </w:rPr>
              <w:t xml:space="preserve">在货物采购项目中，投标人提供的货物既有中小企业制造货物，也有大型企业制造货物的，不享受本办法规定的中小企业扶持政策。</w:t>
            </w:r>
            <w:r>
              <w:rPr>
                <w:color w:val="auto"/>
                <w:highlight w:val="none"/>
              </w:rPr>
            </w:r>
          </w:p>
          <w:p>
            <w:pPr>
              <w:ind w:firstLine="480"/>
              <w:spacing w:line="288" w:lineRule="auto"/>
              <w:rPr>
                <w:rStyle w:val="1016"/>
                <w:rFonts w:hint="eastAsia" w:ascii="仿宋" w:hAnsi="仿宋" w:eastAsia="仿宋" w:cs="仿宋"/>
                <w:iCs/>
                <w:color w:val="auto"/>
                <w:sz w:val="24"/>
                <w:highlight w:val="none"/>
              </w:rPr>
            </w:pPr>
            <w:r>
              <w:rPr>
                <w:rStyle w:val="1016"/>
                <w:rFonts w:hint="eastAsia" w:ascii="仿宋" w:hAnsi="仿宋" w:eastAsia="仿宋" w:cs="仿宋"/>
                <w:iCs/>
                <w:color w:val="auto"/>
                <w:sz w:val="24"/>
                <w:highlight w:val="none"/>
              </w:rPr>
              <w:t xml:space="preserve">以联合体形式参加政府采购活动，联合体各方均为中小企业的，联合体视同中小企业。其中，联合体各方均为小微企业的，联合体视同小微企业。</w:t>
            </w:r>
            <w:r>
              <w:rPr>
                <w:color w:val="auto"/>
                <w:highlight w:val="none"/>
              </w:rPr>
            </w:r>
          </w:p>
          <w:p>
            <w:pPr>
              <w:ind w:firstLine="480"/>
              <w:spacing w:line="288" w:lineRule="auto"/>
              <w:rPr>
                <w:rStyle w:val="1016"/>
                <w:rFonts w:hint="eastAsia" w:ascii="仿宋" w:hAnsi="仿宋" w:eastAsia="仿宋" w:cs="仿宋"/>
                <w:iCs/>
                <w:color w:val="auto"/>
                <w:sz w:val="24"/>
                <w:highlight w:val="none"/>
              </w:rPr>
            </w:pPr>
            <w:r>
              <w:rPr>
                <w:rStyle w:val="1016"/>
                <w:rFonts w:hint="eastAsia" w:ascii="仿宋" w:hAnsi="仿宋" w:eastAsia="仿宋" w:cs="仿宋"/>
                <w:iCs/>
                <w:color w:val="auto"/>
                <w:sz w:val="24"/>
                <w:highlight w:val="none"/>
              </w:rPr>
              <w:t xml:space="preserve">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2、投标人为监狱企业的，提供省级以上监狱管理局、戒毒管理局（含新疆生产建设兵团）出具的属于监狱企业的证明文件原件扫描件。（非必须提供）</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注：具体以《财政部 司法部关于政府采购支持监狱企业发展有关问题的通知》（财库〔2014〕68号）的规定为准（非必须提供）。</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3、投标人为享受政府采购支持政策的残疾人福利性单位的，提供《残疾人福利性单位声明函》原件（加盖电子签章，格式见《招标文件》附件，非必须提供）。</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享受政府采购支持政策的残疾人福利性单位应当同时满足以下条件：</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①安置的残疾人占本单位在职职工人数的比例不低于25%（含25%），并且安置的残疾人人数不少于10人（含10人）；</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②依法与安置的每位残疾人签订了一年以上（含一年）的劳动合同或服务协议；</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③为安置的每位残疾人按月足额缴纳了基本养老保险、基本医疗保险、失业保险、工伤保险和生育保险等社会保险费；</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④通过银行等金融机构向安置的每位残疾人，按月支付了不低于单位所在区县适用的经省级人民政府批准的月最低工资标准的工资；</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rPr>
                <w:color w:val="auto"/>
                <w:highlight w:val="none"/>
              </w:rPr>
            </w:r>
          </w:p>
          <w:p>
            <w:pPr>
              <w:ind w:firstLine="480"/>
              <w:jc w:val="left"/>
              <w:spacing w:line="288" w:lineRule="auto"/>
              <w:rPr>
                <w:rStyle w:val="1016"/>
                <w:rFonts w:hint="eastAsia" w:ascii="仿宋" w:hAnsi="仿宋" w:eastAsia="仿宋" w:cs="仿宋"/>
                <w:color w:val="auto"/>
                <w:sz w:val="24"/>
                <w:highlight w:val="none"/>
              </w:rPr>
            </w:pPr>
            <w:r>
              <w:rPr>
                <w:rStyle w:val="1016"/>
                <w:rFonts w:hint="eastAsia" w:ascii="仿宋" w:hAnsi="仿宋" w:eastAsia="仿宋" w:cs="仿宋"/>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highlight w:val="none"/>
              </w:rPr>
            </w:r>
          </w:p>
          <w:p>
            <w:pPr>
              <w:ind w:firstLine="480"/>
              <w:spacing w:line="288" w:lineRule="auto"/>
              <w:rPr>
                <w:rFonts w:hint="eastAsia" w:ascii="仿宋" w:hAnsi="仿宋" w:eastAsia="仿宋" w:cs="仿宋"/>
                <w:bCs/>
                <w:color w:val="auto"/>
                <w:sz w:val="24"/>
                <w:highlight w:val="none"/>
              </w:rPr>
            </w:pPr>
            <w:r>
              <w:rPr>
                <w:rStyle w:val="1016"/>
                <w:rFonts w:hint="eastAsia" w:ascii="仿宋" w:hAnsi="仿宋" w:eastAsia="仿宋" w:cs="仿宋"/>
                <w:color w:val="auto"/>
                <w:sz w:val="24"/>
                <w:highlight w:val="none"/>
              </w:rPr>
              <w:t xml:space="preserve"> 具体以《三部门联合发布关于促进残疾人就业政府采购政策的通知》（财库〔2017〕141号）规定为准。</w:t>
            </w:r>
            <w:r>
              <w:rPr>
                <w:color w:val="auto"/>
                <w:highlight w:val="none"/>
              </w:rPr>
            </w:r>
          </w:p>
          <w:p>
            <w:pPr>
              <w:ind w:firstLine="48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4、其他投标人认为应补充的资料。</w:t>
            </w:r>
            <w:r>
              <w:rPr>
                <w:color w:val="auto"/>
                <w:highlight w:val="none"/>
              </w:rPr>
            </w:r>
          </w:p>
          <w:p>
            <w:pPr>
              <w:spacing w:line="288"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color w:val="auto"/>
                <w:highlight w:val="none"/>
              </w:rPr>
            </w:r>
          </w:p>
          <w:p>
            <w:pPr>
              <w:ind w:firstLine="482"/>
              <w:spacing w:line="288"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1、投标人应对以上文件的合法性、真实性负责。</w:t>
            </w:r>
            <w:r>
              <w:rPr>
                <w:color w:val="auto"/>
                <w:highlight w:val="none"/>
              </w:rPr>
            </w:r>
          </w:p>
          <w:p>
            <w:pPr>
              <w:ind w:firstLine="482"/>
              <w:spacing w:line="288" w:lineRule="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color w:val="auto"/>
                <w:highlight w:val="none"/>
              </w:rPr>
            </w:r>
          </w:p>
        </w:tc>
      </w:tr>
      <w:tr>
        <w:trPr>
          <w:jc w:val="center"/>
        </w:trPr>
        <w:tc>
          <w:tcPr>
            <w:tcW w:w="1452" w:type="dxa"/>
            <w:vAlign w:val="center"/>
            <w:textDirection w:val="lrTb"/>
            <w:noWrap w:val="false"/>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（十三）1</w:t>
            </w:r>
            <w:r>
              <w:rPr>
                <w:color w:val="auto"/>
                <w:highlight w:val="none"/>
              </w:rPr>
            </w:r>
          </w:p>
        </w:tc>
        <w:tc>
          <w:tcPr>
            <w:tcW w:w="8539" w:type="dxa"/>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商务条件见：</w:t>
            </w:r>
            <w:r>
              <w:rPr>
                <w:color w:val="auto"/>
                <w:highlight w:val="none"/>
              </w:rP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1.招标文件第四章《评标标准》中《评分细则》</w:t>
            </w:r>
            <w:r>
              <w:rPr>
                <w:color w:val="auto"/>
                <w:highlight w:val="none"/>
              </w:rPr>
            </w:r>
          </w:p>
          <w:p>
            <w:pPr>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2.招标文件第三章《投标资料表》中（十二）</w:t>
            </w:r>
            <w:r>
              <w:rPr>
                <w:color w:val="auto"/>
                <w:highlight w:val="none"/>
              </w:rPr>
            </w:r>
          </w:p>
        </w:tc>
      </w:tr>
      <w:tr>
        <w:trPr>
          <w:jc w:val="center"/>
        </w:trPr>
        <w:tc>
          <w:tcPr>
            <w:tcW w:w="1452" w:type="dxa"/>
            <w:vAlign w:val="center"/>
            <w:textDirection w:val="lrTb"/>
            <w:noWrap w:val="false"/>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（十三）2</w:t>
            </w:r>
            <w:r>
              <w:rPr>
                <w:color w:val="auto"/>
                <w:highlight w:val="none"/>
              </w:rPr>
            </w:r>
          </w:p>
        </w:tc>
        <w:tc>
          <w:tcPr>
            <w:tcW w:w="8539" w:type="dxa"/>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交货、提供服务或开工竣工的时间见：招标文件第五章 《拟签订的合同文本》及招标文件第六章《采购需求》。</w:t>
            </w:r>
            <w:r>
              <w:rPr>
                <w:color w:val="auto"/>
                <w:highlight w:val="none"/>
              </w:rPr>
            </w:r>
          </w:p>
        </w:tc>
      </w:tr>
      <w:tr>
        <w:trPr>
          <w:jc w:val="center"/>
        </w:trPr>
        <w:tc>
          <w:tcPr>
            <w:tcW w:w="1452" w:type="dxa"/>
            <w:vAlign w:val="center"/>
            <w:textDirection w:val="lrTb"/>
            <w:noWrap w:val="false"/>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（十四）</w:t>
            </w:r>
            <w:r>
              <w:rPr>
                <w:color w:val="auto"/>
                <w:highlight w:val="none"/>
              </w:rPr>
            </w:r>
          </w:p>
        </w:tc>
        <w:tc>
          <w:tcPr>
            <w:tcW w:w="8539" w:type="dxa"/>
            <w:vAlign w:val="center"/>
            <w:textDirection w:val="lrTb"/>
            <w:noWrap w:val="false"/>
          </w:tcPr>
          <w:p>
            <w:pPr>
              <w:spacing w:line="264"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本项目不接受超</w:t>
            </w:r>
            <w:r>
              <w:rPr>
                <w:rFonts w:hint="eastAsia" w:ascii="仿宋" w:hAnsi="仿宋" w:eastAsia="仿宋" w:cs="仿宋"/>
                <w:bCs/>
                <w:color w:val="auto"/>
                <w:sz w:val="24"/>
                <w:highlight w:val="none"/>
              </w:rPr>
              <w:t xml:space="preserve">过</w:t>
            </w:r>
            <w:r>
              <w:rPr>
                <w:rFonts w:hint="eastAsia" w:ascii="仿宋" w:hAnsi="仿宋" w:eastAsia="仿宋" w:cs="仿宋"/>
                <w:b/>
                <w:color w:val="auto"/>
                <w:highlight w:val="none"/>
                <w:lang w:eastAsia="zh-CN"/>
              </w:rPr>
              <w:t xml:space="preserve">170.98万元</w:t>
            </w:r>
            <w:r>
              <w:rPr>
                <w:rFonts w:hint="eastAsia" w:ascii="仿宋" w:hAnsi="仿宋" w:eastAsia="仿宋" w:cs="仿宋"/>
                <w:b/>
                <w:color w:val="auto"/>
                <w:sz w:val="24"/>
                <w:highlight w:val="none"/>
              </w:rPr>
              <w:t xml:space="preserve">人民币</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rPr>
              <w:t xml:space="preserve">采购项</w:t>
            </w:r>
            <w:r>
              <w:rPr>
                <w:rFonts w:hint="eastAsia" w:ascii="仿宋" w:hAnsi="仿宋" w:eastAsia="仿宋" w:cs="仿宋"/>
                <w:bCs/>
                <w:color w:val="auto"/>
                <w:sz w:val="24"/>
                <w:highlight w:val="none"/>
              </w:rPr>
              <w:t xml:space="preserve">目预算金额）的投标报价</w:t>
            </w:r>
            <w:r>
              <w:rPr>
                <w:rFonts w:hint="eastAsia" w:ascii="仿宋" w:hAnsi="仿宋" w:eastAsia="仿宋" w:cs="仿宋"/>
                <w:color w:val="auto"/>
                <w:sz w:val="24"/>
                <w:highlight w:val="none"/>
              </w:rPr>
              <w:t xml:space="preserve">。</w:t>
            </w:r>
            <w:r>
              <w:rPr>
                <w:color w:val="auto"/>
                <w:highlight w:val="none"/>
              </w:rPr>
            </w:r>
          </w:p>
          <w:p>
            <w:pPr>
              <w:spacing w:line="264"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报价包含项目完成的所有费用，投标人报价时需考虑完成本项目内容所涉及的人工费、材料费、机械费、税费、验收利润、招标代理等投标人认为可能发生的一切完成本项目所需要的相关费用。采购人不再支付报价以外的任何费用。</w:t>
            </w:r>
            <w:r>
              <w:rPr>
                <w:color w:val="auto"/>
                <w:highlight w:val="none"/>
              </w:rPr>
            </w:r>
          </w:p>
        </w:tc>
      </w:tr>
      <w:tr>
        <w:trPr>
          <w:jc w:val="center"/>
        </w:trPr>
        <w:tc>
          <w:tcPr>
            <w:tcW w:w="1452" w:type="dxa"/>
            <w:vAlign w:val="center"/>
            <w:textDirection w:val="lrTb"/>
            <w:noWrap w:val="false"/>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（十五）</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以人民币报价。</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（十六）</w:t>
            </w:r>
            <w:r>
              <w:rPr>
                <w:color w:val="auto"/>
                <w:highlight w:val="none"/>
              </w:rPr>
            </w:r>
          </w:p>
        </w:tc>
        <w:tc>
          <w:tcPr>
            <w:tcW w:w="8539"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线上要求：投标人应当通过“苏采云”系统提交数据电文形式的投标文件（即电子投标）。</w:t>
            </w:r>
            <w:r>
              <w:rPr>
                <w:color w:val="auto"/>
                <w:highlight w:val="none"/>
              </w:rP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特别说明：投标人通过“苏采云”系统提交政府采购客户端工具导出加密的投标文件（后缀名为zip）。投标文件不得超过350M！（以系统为准）</w:t>
            </w:r>
            <w:r>
              <w:rPr>
                <w:color w:val="auto"/>
                <w:highlight w:val="none"/>
              </w:rPr>
            </w:r>
          </w:p>
          <w:p>
            <w:pPr>
              <w:rPr>
                <w:rFonts w:hint="eastAsia" w:ascii="仿宋" w:hAnsi="仿宋" w:eastAsia="仿宋" w:cs="仿宋"/>
                <w:b/>
                <w:bCs/>
                <w:iCs/>
                <w:color w:val="auto"/>
                <w:sz w:val="24"/>
                <w:szCs w:val="32"/>
                <w:highlight w:val="none"/>
              </w:rPr>
            </w:pPr>
            <w:r>
              <w:rPr>
                <w:rFonts w:hint="eastAsia" w:ascii="仿宋" w:hAnsi="仿宋" w:eastAsia="仿宋" w:cs="仿宋"/>
                <w:b/>
                <w:bCs/>
                <w:color w:val="auto"/>
                <w:sz w:val="24"/>
                <w:highlight w:val="none"/>
              </w:rPr>
              <w:t xml:space="preserve">投标文件的退还：</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b/>
                <w:bCs/>
                <w:iCs/>
                <w:color w:val="auto"/>
                <w:sz w:val="24"/>
                <w:szCs w:val="32"/>
                <w:highlight w:val="none"/>
              </w:rPr>
              <w:t xml:space="preserve">说明：本项目采用线上投标，即投标人投标文件从政府采购客户端工具制作通过“苏采云”系统提交，未提供线上投标文件的，投标无效。</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（十七）</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见招标文件第三章《投标资料表》中（十二）</w:t>
            </w:r>
            <w:r>
              <w:rPr>
                <w:color w:val="auto"/>
                <w:highlight w:val="none"/>
              </w:rPr>
            </w:r>
          </w:p>
        </w:tc>
      </w:tr>
      <w:tr>
        <w:trPr>
          <w:jc w:val="center"/>
          <w:trHeight w:val="466"/>
        </w:trPr>
        <w:tc>
          <w:tcPr>
            <w:tcW w:w="1452" w:type="dxa"/>
            <w:vAlign w:val="top"/>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（十八）</w:t>
            </w:r>
            <w:r>
              <w:rPr>
                <w:color w:val="auto"/>
                <w:highlight w:val="none"/>
              </w:rPr>
            </w:r>
          </w:p>
        </w:tc>
        <w:tc>
          <w:tcPr>
            <w:tcW w:w="8539" w:type="dxa"/>
            <w:vAlign w:val="top"/>
            <w:textDirection w:val="lrTb"/>
            <w:noWrap w:val="false"/>
          </w:tcPr>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线上投标文件的密封、签署、盖章要求：</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一、投标文件的密封（加密）要求：</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二、投标文件的签署要求：见招标文件第七章《投标文件相关格式》。</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三、投标文件的盖章要求：详见招标文件第三章《投标资料表》和招标文件第七章《投标文件相关格式》。投标人须通过“苏采云”系统提供的政府采购客户端工具（使用“CA数字证书”）加盖电子签章。</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1、未进行线上投标并解密（因“苏采云”系统导致解密失败的除外）的，所导致的一切后果均由投标人承担。</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2、投标文件的签署要求：见招标文件第七章《投标文件相关格式》。</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3、投标文件的盖章要求：详见招标文件第三章《投标资料表》和招标文件第七章《投标文件相关格式》。</w:t>
            </w:r>
            <w:r>
              <w:rPr>
                <w:color w:val="auto"/>
                <w:highlight w:val="none"/>
              </w:rPr>
            </w:r>
          </w:p>
          <w:p>
            <w:pPr>
              <w:jc w:val="left"/>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说明：投标人应凭CA数字证书以及自备的能够登录“苏采云”系统的电脑，在达到开标时间后，使用CA数字证书解密各自投标文件。</w:t>
            </w:r>
            <w:r>
              <w:rPr>
                <w:color w:val="auto"/>
                <w:highlight w:val="none"/>
              </w:rPr>
            </w:r>
          </w:p>
          <w:p>
            <w:pPr>
              <w:jc w:val="left"/>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4"/>
                <w:highlight w:val="none"/>
              </w:rPr>
              <w:t xml:space="preserve">投标人未按规定加密的投标文件，“苏采云”系统应当拒收并提示。</w:t>
            </w:r>
            <w:r>
              <w:rPr>
                <w:color w:val="auto"/>
                <w:highlight w:val="none"/>
              </w:rPr>
            </w:r>
          </w:p>
        </w:tc>
      </w:tr>
      <w:tr>
        <w:trPr>
          <w:jc w:val="center"/>
          <w:trHeight w:val="789"/>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（十九）</w:t>
            </w:r>
            <w:r>
              <w:rPr>
                <w:color w:val="auto"/>
                <w:highlight w:val="none"/>
              </w:rPr>
            </w:r>
          </w:p>
        </w:tc>
        <w:tc>
          <w:tcPr>
            <w:tcW w:w="8539"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一</w:t>
            </w:r>
            <w:r>
              <w:rPr>
                <w:rFonts w:hint="eastAsia" w:ascii="仿宋" w:hAnsi="仿宋" w:eastAsia="仿宋" w:cs="仿宋"/>
                <w:b/>
                <w:bCs/>
                <w:color w:val="auto"/>
                <w:sz w:val="24"/>
                <w:highlight w:val="none"/>
              </w:rPr>
              <w:t xml:space="preserve">、投标文件提交时间：</w:t>
            </w:r>
            <w:r>
              <w:rPr>
                <w:rFonts w:hint="eastAsia" w:ascii="仿宋" w:hAnsi="仿宋" w:eastAsia="仿宋" w:cs="仿宋"/>
                <w:b/>
                <w:bCs/>
                <w:color w:val="auto"/>
                <w:sz w:val="24"/>
                <w:highlight w:val="none"/>
              </w:rPr>
              <w:t xml:space="preserve">202</w:t>
            </w: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rPr>
              <w:t xml:space="preserve">年11 月04日09:30前。</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二、投标截止时间：202</w:t>
            </w: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rPr>
              <w:t xml:space="preserve">年11月 04日北京时间09:30</w:t>
            </w:r>
            <w:r>
              <w:rPr>
                <w:rFonts w:hint="eastAsia" w:ascii="仿宋" w:hAnsi="仿宋" w:eastAsia="仿宋" w:cs="仿宋"/>
                <w:b/>
                <w:bCs/>
                <w:color w:val="auto"/>
                <w:sz w:val="24"/>
                <w:highlight w:val="none"/>
              </w:rPr>
              <w:t xml:space="preserve">。</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三、投标文件的提交与接收地点：投标人应当通过“苏采云”系统提交数据电文形式的投标文件（即电子投标），“苏采云”系统自动接收。</w:t>
            </w:r>
            <w:r>
              <w:rPr>
                <w:color w:val="auto"/>
                <w:highlight w:val="none"/>
              </w:rP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4"/>
                <w:highlight w:val="none"/>
              </w:rPr>
              <w:t xml:space="preserve">（二十）</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电子投标文件应由其法定代表人或法定代表人授权代表在规定的网上投标时间内，凭 CA 证书登录“苏采云”在线编制投标文件（电子数据），并在投标截止时间之前上传投标文件。逾期提交的投标文件，“苏采云”系统将自动拒收。</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投标人应携带 CA 数字证书以及自备的能够登录“苏采云”系统的电脑在到达开标时间后，使用 CA 数字证书解密各自投标文件，</w:t>
            </w:r>
            <w:r>
              <w:rPr>
                <w:rFonts w:hint="eastAsia" w:ascii="仿宋" w:hAnsi="仿宋" w:eastAsia="仿宋" w:cs="仿宋"/>
                <w:b/>
                <w:bCs/>
                <w:color w:val="auto"/>
                <w:sz w:val="24"/>
                <w:highlight w:val="none"/>
              </w:rPr>
              <w:t xml:space="preserve">投标人未在规定时间内解密电子投标文件的，所导致的一切后果均由投标人承担。</w:t>
            </w:r>
            <w:r>
              <w:rPr>
                <w:color w:val="auto"/>
                <w:highlight w:val="none"/>
              </w:rPr>
            </w:r>
          </w:p>
        </w:tc>
      </w:tr>
      <w:tr>
        <w:trPr>
          <w:jc w:val="center"/>
          <w:trHeight w:val="402"/>
        </w:trPr>
        <w:tc>
          <w:tcPr>
            <w:tcW w:w="1452" w:type="dxa"/>
            <w:vAlign w:val="top"/>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85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四、开标</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（二十一）1</w:t>
            </w:r>
            <w:r>
              <w:rPr>
                <w:color w:val="auto"/>
                <w:highlight w:val="none"/>
              </w:rPr>
            </w:r>
          </w:p>
        </w:tc>
        <w:tc>
          <w:tcPr>
            <w:tcW w:w="8539" w:type="dxa"/>
            <w:vAlign w:val="center"/>
            <w:textDirection w:val="lrTb"/>
            <w:noWrap w:val="false"/>
          </w:tcPr>
          <w:p>
            <w:pPr>
              <w:rPr>
                <w:rFonts w:hint="eastAsia" w:ascii="仿宋" w:hAnsi="仿宋" w:eastAsia="仿宋" w:cs="仿宋"/>
                <w:b/>
                <w:bCs/>
                <w:color w:val="auto"/>
                <w:sz w:val="24"/>
                <w:szCs w:val="24"/>
                <w:highlight w:val="none"/>
              </w:rPr>
            </w:pPr>
            <w:r>
              <w:rPr>
                <w:rFonts w:hint="eastAsia" w:ascii="仿宋" w:hAnsi="仿宋" w:eastAsia="仿宋" w:cs="仿宋"/>
                <w:b/>
                <w:color w:val="auto"/>
                <w:sz w:val="24"/>
                <w:highlight w:val="none"/>
              </w:rPr>
              <w:t xml:space="preserve">开标时间：</w:t>
            </w:r>
            <w:r>
              <w:rPr>
                <w:rFonts w:hint="eastAsia" w:ascii="仿宋" w:hAnsi="仿宋" w:eastAsia="仿宋" w:cs="仿宋"/>
                <w:b/>
                <w:color w:val="auto"/>
                <w:sz w:val="24"/>
                <w:highlight w:val="none"/>
              </w:rPr>
              <w:t xml:space="preserve">202</w:t>
            </w:r>
            <w:r>
              <w:rPr>
                <w:rFonts w:hint="eastAsia" w:ascii="仿宋" w:hAnsi="仿宋" w:eastAsia="仿宋" w:cs="仿宋"/>
                <w:b/>
                <w:color w:val="auto"/>
                <w:sz w:val="24"/>
                <w:highlight w:val="none"/>
                <w:lang w:val="en-US" w:eastAsia="zh-CN"/>
              </w:rPr>
              <w:t xml:space="preserve">5</w:t>
            </w:r>
            <w:r>
              <w:rPr>
                <w:rFonts w:hint="eastAsia" w:ascii="仿宋" w:hAnsi="仿宋" w:eastAsia="仿宋" w:cs="仿宋"/>
                <w:b/>
                <w:color w:val="auto"/>
                <w:sz w:val="24"/>
                <w:highlight w:val="none"/>
              </w:rPr>
              <w:t xml:space="preserve">年11</w:t>
            </w:r>
            <w:r>
              <w:rPr>
                <w:rFonts w:hint="eastAsia" w:ascii="仿宋" w:hAnsi="仿宋" w:eastAsia="仿宋" w:cs="仿宋"/>
                <w:b/>
                <w:bCs/>
                <w:color w:val="auto"/>
                <w:sz w:val="24"/>
                <w:highlight w:val="none"/>
              </w:rPr>
              <w:t xml:space="preserve">月04日北京</w:t>
            </w:r>
            <w:r>
              <w:rPr>
                <w:rFonts w:hint="eastAsia" w:ascii="仿宋" w:hAnsi="仿宋" w:eastAsia="仿宋" w:cs="仿宋"/>
                <w:b/>
                <w:color w:val="auto"/>
                <w:sz w:val="24"/>
                <w:highlight w:val="none"/>
              </w:rPr>
              <w:t xml:space="preserve">时间09:30</w:t>
            </w:r>
            <w:r>
              <w:rPr>
                <w:color w:val="auto"/>
                <w:highlight w:val="none"/>
              </w:rPr>
            </w:r>
          </w:p>
          <w:p>
            <w:pPr>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br/>
            </w:r>
            <w:r>
              <w:rPr>
                <w:rFonts w:hint="eastAsia" w:ascii="仿宋" w:hAnsi="仿宋" w:eastAsia="仿宋" w:cs="仿宋"/>
                <w:b/>
                <w:color w:val="auto"/>
                <w:sz w:val="24"/>
                <w:highlight w:val="none"/>
              </w:rPr>
              <w:t xml:space="preserve">开标地点：</w:t>
            </w: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（二十二）</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b/>
                <w:bCs/>
                <w:color w:val="auto"/>
                <w:sz w:val="24"/>
                <w:highlight w:val="none"/>
              </w:rPr>
              <w:t xml:space="preserve">请注意观察解密倒计时，具体解密时间以“苏采云”系统为准</w:t>
            </w:r>
            <w:r>
              <w:rPr>
                <w:rFonts w:hint="eastAsia" w:ascii="仿宋" w:hAnsi="仿宋" w:eastAsia="仿宋" w:cs="仿宋"/>
                <w:color w:val="auto"/>
                <w:sz w:val="24"/>
                <w:highlight w:val="none"/>
              </w:rPr>
              <w:t xml:space="preserve">）。</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所有投标人解密（或解密时间）结束后，“苏采云”系统生成开标记录并向社会公众公布，但依法应当保密的除外。</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tc>
        <w:tc>
          <w:tcPr>
            <w:tcW w:w="85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五、评标</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（二十三）</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w:t>
            </w:r>
            <w:r>
              <w:rPr>
                <w:rFonts w:hint="eastAsia" w:ascii="仿宋" w:hAnsi="仿宋" w:eastAsia="仿宋" w:cs="仿宋"/>
                <w:color w:val="auto"/>
                <w:sz w:val="24"/>
                <w:highlight w:val="none"/>
              </w:rPr>
              <w:t xml:space="preserve">标小组的组建：评标小组成员构成：5人。评标小组确定方式：招标人评委1人，其余评委从《江苏省政府采购专家库》随机抽取。</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（二十四）</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采用综合评分法。各评标因素权数详见第四章《评标标准》中《评分细则》</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（二十五）</w:t>
            </w:r>
            <w:r>
              <w:rPr>
                <w:color w:val="auto"/>
                <w:highlight w:val="none"/>
              </w:rPr>
            </w:r>
          </w:p>
        </w:tc>
        <w:tc>
          <w:tcPr>
            <w:tcW w:w="8539" w:type="dxa"/>
            <w:vAlign w:val="center"/>
            <w:textDirection w:val="lrTb"/>
            <w:noWrap w:val="false"/>
          </w:tcPr>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1、推荐中标候选投标人名单。中标候选投标人数量应当根据采购需要确定，但必须按顺序排列中标候选投标人。</w:t>
            </w:r>
            <w:r>
              <w:rPr>
                <w:color w:val="auto"/>
                <w:highlight w:val="none"/>
              </w:rP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用综合评分法的，按评审后得分由高到低顺序排列。得分相同的，按投标报价由低到高顺序排列。得分且投标报价相同的，按技术指标优劣顺序排列。得分相同投标报价和技术指标优劣得分也相同的，按组织实施得分由高到低顺序排列。</w:t>
            </w:r>
            <w:r>
              <w:rPr>
                <w:color w:val="auto"/>
                <w:highlight w:val="none"/>
              </w:rPr>
            </w:r>
          </w:p>
        </w:tc>
      </w:tr>
      <w:tr>
        <w:trPr>
          <w:jc w:val="center"/>
          <w:trHeight w:val="4046"/>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（二十六）</w:t>
            </w:r>
            <w:r>
              <w:rPr>
                <w:color w:val="auto"/>
                <w:highlight w:val="none"/>
              </w:rPr>
            </w:r>
          </w:p>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tc>
        <w:tc>
          <w:tcPr>
            <w:tcW w:w="8539" w:type="dxa"/>
            <w:vAlign w:val="center"/>
            <w:textDirection w:val="lrTb"/>
            <w:noWrap w:val="false"/>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1.评标中需要投标人对投标文件澄清或者说明的，应当通过“苏采云”系统交换数据电文。在评标期间，请投标人保持在线。</w:t>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auto"/>
                <w:highlight w:val="none"/>
              </w:rPr>
            </w:r>
          </w:p>
        </w:tc>
      </w:tr>
      <w:tr>
        <w:trPr>
          <w:jc w:val="center"/>
          <w:trHeight w:val="568"/>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tc>
        <w:tc>
          <w:tcPr>
            <w:tcW w:w="85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七、采购合同</w:t>
            </w:r>
            <w:r>
              <w:rPr>
                <w:color w:val="auto"/>
                <w:highlight w:val="none"/>
              </w:rPr>
            </w:r>
          </w:p>
        </w:tc>
      </w:tr>
      <w:tr>
        <w:trPr>
          <w:jc w:val="center"/>
          <w:trHeight w:val="780"/>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（二十七）</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采购人与中标、成交投标人应当在中标、成交通知书发出之日起30日内，按照采购文件确定的事项签订采购合同。</w:t>
            </w:r>
            <w:r>
              <w:rPr>
                <w:color w:val="auto"/>
                <w:highlight w:val="none"/>
              </w:rPr>
            </w:r>
          </w:p>
        </w:tc>
      </w:tr>
      <w:tr>
        <w:trPr>
          <w:jc w:val="center"/>
          <w:trHeight w:val="619"/>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（二十八）</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履约保证金缴纳方式、时间及退款具体要求详见合同条款。 </w:t>
            </w:r>
            <w:r>
              <w:rPr>
                <w:color w:val="auto"/>
                <w:highlight w:val="none"/>
              </w:rP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（二十九）</w:t>
            </w:r>
            <w:r>
              <w:rPr>
                <w:color w:val="auto"/>
                <w:highlight w:val="none"/>
              </w:rPr>
            </w:r>
          </w:p>
        </w:tc>
        <w:tc>
          <w:tcPr>
            <w:tcW w:w="8539" w:type="dxa"/>
            <w:vAlign w:val="center"/>
            <w:textDirection w:val="lrTb"/>
            <w:noWrap w:val="false"/>
          </w:tcPr>
          <w:p>
            <w:pPr>
              <w:pStyle w:val="1017"/>
              <w:ind w:firstLine="480"/>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highlight w:val="none"/>
              </w:rPr>
              <w:t xml:space="preserve">1、投标人认为采购文件、采购过程和中标、成交结果使自己的权益受到损害的，可以在知道或者应知其权益受到损害之日起七个工作日内，以书面形式向采购人或采购代理机构提出质疑。</w:t>
            </w:r>
            <w:r>
              <w:rPr>
                <w:rFonts w:hint="eastAsia" w:ascii="仿宋" w:hAnsi="仿宋" w:eastAsia="仿宋" w:cs="仿宋"/>
                <w:color w:val="auto"/>
                <w:highlight w:val="none"/>
              </w:rPr>
              <w:br w:type="textWrapping" w:clear="all"/>
            </w:r>
            <w:r>
              <w:rPr>
                <w:rFonts w:hint="eastAsia" w:ascii="仿宋" w:hAnsi="仿宋" w:eastAsia="仿宋" w:cs="仿宋"/>
                <w:color w:val="auto"/>
                <w:highlight w:val="none"/>
              </w:rPr>
              <w:t xml:space="preserve">    2、质疑和投诉按《政府采购质疑和投诉办法》执行，投标人在法定质疑期内一次性提出针对同一采购程序环节的质疑。</w:t>
            </w:r>
            <w:r>
              <w:rPr>
                <w:color w:val="auto"/>
                <w:highlight w:val="none"/>
              </w:rPr>
            </w:r>
          </w:p>
          <w:p>
            <w:pPr>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质疑接收</w:t>
            </w:r>
            <w:r>
              <w:rPr>
                <w:rFonts w:hint="eastAsia" w:ascii="仿宋" w:hAnsi="仿宋" w:eastAsia="仿宋" w:cs="仿宋"/>
                <w:color w:val="auto"/>
                <w:sz w:val="24"/>
                <w:highlight w:val="none"/>
              </w:rPr>
              <w:t xml:space="preserve">人：</w:t>
            </w:r>
            <w:r>
              <w:rPr>
                <w:rFonts w:hint="eastAsia" w:ascii="仿宋" w:hAnsi="仿宋" w:eastAsia="仿宋" w:cs="仿宋"/>
                <w:color w:val="auto"/>
                <w:sz w:val="24"/>
                <w:highlight w:val="none"/>
                <w:lang w:val="en-US" w:eastAsia="zh-CN"/>
              </w:rPr>
              <w:t xml:space="preserve">魏工</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lang w:val="en-US" w:eastAsia="zh-CN"/>
              </w:rPr>
              <w:t xml:space="preserve">18651358982</w:t>
            </w:r>
            <w:r>
              <w:rPr>
                <w:rFonts w:hint="eastAsia" w:ascii="仿宋" w:hAnsi="仿宋" w:eastAsia="仿宋" w:cs="仿宋"/>
                <w:color w:val="auto"/>
                <w:sz w:val="24"/>
                <w:highlight w:val="none"/>
                <w:lang w:val="en-US" w:eastAsia="zh-CN"/>
              </w:rPr>
              <w:t xml:space="preserve">      </w:t>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江苏省徐州市丰县宋楼镇工业园2号路45号徐州知守项目管理有限公司</w:t>
            </w:r>
            <w:r>
              <w:rPr>
                <w:color w:val="auto"/>
                <w:highlight w:val="none"/>
              </w:rPr>
            </w:r>
          </w:p>
        </w:tc>
      </w:tr>
      <w:tr>
        <w:trPr>
          <w:jc w:val="center"/>
          <w:trHeight w:val="874"/>
        </w:trPr>
        <w:tc>
          <w:tcPr>
            <w:tcW w:w="1452" w:type="dxa"/>
            <w:vAlign w:val="center"/>
            <w:textDirection w:val="lrTb"/>
            <w:noWrap w:val="false"/>
          </w:tcPr>
          <w:p>
            <w:pPr>
              <w:jc w:val="cente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附加说明</w:t>
            </w:r>
            <w:r>
              <w:rPr>
                <w:color w:val="auto"/>
                <w:highlight w:val="none"/>
              </w:rPr>
            </w:r>
          </w:p>
        </w:tc>
        <w:tc>
          <w:tcPr>
            <w:tcW w:w="853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中标人在收到中标通知书时，须向采购代理机构提交《开标一览表》和《分项价格表》的数据文件（WORD格式）。</w:t>
            </w:r>
            <w:r>
              <w:rPr>
                <w:color w:val="auto"/>
                <w:highlight w:val="none"/>
              </w:rPr>
            </w:r>
          </w:p>
        </w:tc>
      </w:tr>
    </w:tbl>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1"/>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附件一</w:t>
      </w:r>
      <w:r>
        <w:rPr>
          <w:color w:val="auto"/>
          <w:highlight w:val="none"/>
        </w:rPr>
      </w:r>
    </w:p>
    <w:p>
      <w:pPr>
        <w:ind w:firstLine="714"/>
        <w:jc w:val="center"/>
        <w:widowControl w:val="off"/>
        <w:rPr>
          <w:rFonts w:hint="default" w:ascii="宋体" w:hAnsi="宋体" w:eastAsia="宋体" w:cs="Times New Roman"/>
          <w:bCs/>
          <w:color w:val="auto"/>
          <w:spacing w:val="6"/>
          <w:sz w:val="28"/>
          <w:szCs w:val="28"/>
          <w:highlight w:val="none"/>
        </w:rPr>
      </w:pPr>
      <w:r>
        <w:rPr>
          <w:rFonts w:hint="default" w:ascii="宋体" w:hAnsi="宋体" w:eastAsia="宋体" w:cs="Times New Roman"/>
          <w:bCs/>
          <w:color w:val="auto"/>
          <w:spacing w:val="6"/>
          <w:sz w:val="28"/>
          <w:szCs w:val="28"/>
          <w:highlight w:val="none"/>
          <w:lang w:val="en-US" w:eastAsia="zh-CN" w:bidi="ar-SA"/>
        </w:rPr>
        <w:t xml:space="preserve">招标代理服务收费标准</w:t>
      </w:r>
      <w:r>
        <w:rPr>
          <w:color w:val="auto"/>
          <w:highlight w:val="none"/>
        </w:rPr>
      </w:r>
    </w:p>
    <w:p>
      <w:pPr>
        <w:pStyle w:val="1008"/>
        <w:rPr>
          <w:rFonts w:hint="default"/>
          <w:color w:val="auto"/>
          <w:highlight w:val="none"/>
        </w:rPr>
      </w:pPr>
      <w:r>
        <w:rPr>
          <w:rFonts w:hint="default"/>
          <w:color w:val="auto"/>
          <w:highlight w:val="none"/>
          <w:lang w:val="en-US" w:eastAsia="zh-CN"/>
        </w:rPr>
      </w:r>
      <w:r>
        <w:rPr>
          <w:color w:val="auto"/>
          <w:highlight w:val="none"/>
        </w:rPr>
      </w:r>
    </w:p>
    <w:tbl>
      <w:tblPr>
        <w:tblStyle w:val="101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05"/>
        <w:gridCol w:w="2773"/>
      </w:tblGrid>
      <w:tr>
        <w:trPr>
          <w:trHeight w:val="492"/>
        </w:trPr>
        <w:tc>
          <w:tcPr>
            <w:tcW w:w="3472" w:type="pct"/>
            <w:vAlign w:val="top"/>
            <w:textDirection w:val="lrTb"/>
            <w:noWrap w:val="false"/>
          </w:tcPr>
          <w:p>
            <w:pPr>
              <w:pStyle w:val="1018"/>
              <w:ind w:left="974"/>
              <w:spacing w:before="168" w:line="219" w:lineRule="auto"/>
              <w:rPr>
                <w:color w:val="auto"/>
                <w:sz w:val="22"/>
                <w:szCs w:val="22"/>
                <w:highlight w:val="none"/>
              </w:rPr>
            </w:pPr>
            <w:r>
              <w:rPr>
                <w:color w:val="auto"/>
                <w:spacing w:val="1"/>
                <w:sz w:val="22"/>
                <w:szCs w:val="22"/>
                <w:highlight w:val="none"/>
              </w:rPr>
              <w:t xml:space="preserve">中标或者成交金额</w:t>
            </w:r>
            <w:r>
              <w:rPr>
                <w:color w:val="auto"/>
                <w:highlight w:val="none"/>
              </w:rPr>
            </w:r>
          </w:p>
        </w:tc>
        <w:tc>
          <w:tcPr>
            <w:tcW w:w="1527" w:type="pct"/>
            <w:vAlign w:val="top"/>
            <w:textDirection w:val="lrTb"/>
            <w:noWrap w:val="false"/>
          </w:tcPr>
          <w:p>
            <w:pPr>
              <w:pStyle w:val="1018"/>
              <w:ind w:left="667"/>
              <w:spacing w:before="168" w:line="219" w:lineRule="auto"/>
              <w:rPr>
                <w:color w:val="auto"/>
                <w:sz w:val="22"/>
                <w:szCs w:val="22"/>
                <w:highlight w:val="none"/>
              </w:rPr>
            </w:pPr>
            <w:r>
              <w:rPr>
                <w:color w:val="auto"/>
                <w:spacing w:val="7"/>
                <w:sz w:val="22"/>
                <w:szCs w:val="22"/>
                <w:highlight w:val="none"/>
              </w:rPr>
              <w:t xml:space="preserve">费率</w:t>
            </w:r>
            <w:r>
              <w:rPr>
                <w:color w:val="auto"/>
                <w:highlight w:val="none"/>
              </w:rPr>
            </w:r>
          </w:p>
        </w:tc>
      </w:tr>
      <w:tr>
        <w:trPr>
          <w:trHeight w:val="451"/>
        </w:trPr>
        <w:tc>
          <w:tcPr>
            <w:tcW w:w="3472" w:type="pct"/>
            <w:vAlign w:val="top"/>
            <w:textDirection w:val="lrTb"/>
            <w:noWrap w:val="false"/>
          </w:tcPr>
          <w:p>
            <w:pPr>
              <w:pStyle w:val="1018"/>
              <w:ind w:left="175"/>
              <w:spacing w:before="154" w:line="219" w:lineRule="auto"/>
              <w:rPr>
                <w:color w:val="auto"/>
                <w:sz w:val="22"/>
                <w:szCs w:val="22"/>
                <w:highlight w:val="none"/>
              </w:rPr>
            </w:pPr>
            <w:r>
              <w:rPr>
                <w:color w:val="auto"/>
                <w:spacing w:val="4"/>
                <w:sz w:val="22"/>
                <w:szCs w:val="22"/>
                <w:highlight w:val="none"/>
              </w:rPr>
              <w:t xml:space="preserve">最低收费金额(每个委托项目)</w:t>
            </w:r>
            <w:r>
              <w:rPr>
                <w:color w:val="auto"/>
                <w:highlight w:val="none"/>
              </w:rPr>
            </w:r>
          </w:p>
        </w:tc>
        <w:tc>
          <w:tcPr>
            <w:tcW w:w="1527" w:type="pct"/>
            <w:vAlign w:val="top"/>
            <w:textDirection w:val="lrTb"/>
            <w:noWrap w:val="false"/>
          </w:tcPr>
          <w:p>
            <w:pPr>
              <w:pStyle w:val="1018"/>
              <w:ind w:left="507"/>
              <w:spacing w:before="155" w:line="220" w:lineRule="auto"/>
              <w:rPr>
                <w:color w:val="auto"/>
                <w:sz w:val="22"/>
                <w:szCs w:val="22"/>
                <w:highlight w:val="none"/>
              </w:rPr>
            </w:pPr>
            <w:r>
              <w:rPr>
                <w:color w:val="auto"/>
                <w:spacing w:val="2"/>
                <w:sz w:val="22"/>
                <w:szCs w:val="22"/>
                <w:highlight w:val="none"/>
              </w:rPr>
              <w:t xml:space="preserve">5000元</w:t>
            </w:r>
            <w:r>
              <w:rPr>
                <w:color w:val="auto"/>
                <w:highlight w:val="none"/>
              </w:rPr>
            </w:r>
          </w:p>
        </w:tc>
      </w:tr>
      <w:tr>
        <w:trPr>
          <w:trHeight w:val="504"/>
        </w:trPr>
        <w:tc>
          <w:tcPr>
            <w:tcW w:w="3472" w:type="pct"/>
            <w:vAlign w:val="top"/>
            <w:textDirection w:val="lrTb"/>
            <w:noWrap w:val="false"/>
          </w:tcPr>
          <w:p>
            <w:pPr>
              <w:pStyle w:val="1018"/>
              <w:ind w:left="654"/>
              <w:spacing w:before="155" w:line="219" w:lineRule="auto"/>
              <w:rPr>
                <w:color w:val="auto"/>
                <w:sz w:val="22"/>
                <w:szCs w:val="22"/>
                <w:highlight w:val="none"/>
              </w:rPr>
            </w:pPr>
            <w:r>
              <w:rPr>
                <w:color w:val="auto"/>
                <w:spacing w:val="5"/>
                <w:sz w:val="22"/>
                <w:szCs w:val="22"/>
                <w:highlight w:val="none"/>
              </w:rPr>
              <w:t xml:space="preserve">50万元以下(含50万元)</w:t>
            </w:r>
            <w:r>
              <w:rPr>
                <w:color w:val="auto"/>
                <w:highlight w:val="none"/>
              </w:rPr>
            </w:r>
          </w:p>
        </w:tc>
        <w:tc>
          <w:tcPr>
            <w:tcW w:w="1527" w:type="pct"/>
            <w:vAlign w:val="top"/>
            <w:textDirection w:val="lrTb"/>
            <w:noWrap w:val="false"/>
          </w:tcPr>
          <w:p>
            <w:pPr>
              <w:pStyle w:val="1018"/>
              <w:ind w:firstLine="612"/>
              <w:jc w:val="both"/>
              <w:spacing w:before="236" w:line="184" w:lineRule="auto"/>
              <w:rPr>
                <w:color w:val="auto"/>
                <w:sz w:val="21"/>
                <w:szCs w:val="21"/>
                <w:highlight w:val="none"/>
              </w:rPr>
            </w:pPr>
            <w:r>
              <w:rPr>
                <w:color w:val="auto"/>
                <w:spacing w:val="-8"/>
                <w:sz w:val="22"/>
                <w:szCs w:val="22"/>
                <w:highlight w:val="none"/>
              </w:rPr>
              <w:t xml:space="preserve">1.6%</w:t>
            </w:r>
            <w:r>
              <w:rPr>
                <w:color w:val="auto"/>
                <w:highlight w:val="none"/>
              </w:rPr>
            </w:r>
          </w:p>
        </w:tc>
      </w:tr>
      <w:tr>
        <w:trPr>
          <w:trHeight w:val="619"/>
        </w:trPr>
        <w:tc>
          <w:tcPr>
            <w:tcW w:w="3472" w:type="pct"/>
            <w:vAlign w:val="top"/>
            <w:textDirection w:val="lrTb"/>
            <w:noWrap w:val="false"/>
          </w:tcPr>
          <w:p>
            <w:pPr>
              <w:pStyle w:val="1018"/>
              <w:ind w:left="575"/>
              <w:spacing w:before="156" w:line="219" w:lineRule="auto"/>
              <w:rPr>
                <w:color w:val="auto"/>
                <w:sz w:val="22"/>
                <w:szCs w:val="22"/>
                <w:highlight w:val="none"/>
              </w:rPr>
            </w:pPr>
            <w:r>
              <w:rPr>
                <w:color w:val="auto"/>
                <w:spacing w:val="4"/>
                <w:sz w:val="22"/>
                <w:szCs w:val="22"/>
                <w:highlight w:val="none"/>
              </w:rPr>
              <w:t xml:space="preserve">50-400万元(含400万元)</w:t>
            </w:r>
            <w:r>
              <w:rPr>
                <w:color w:val="auto"/>
                <w:highlight w:val="none"/>
              </w:rPr>
            </w:r>
          </w:p>
        </w:tc>
        <w:tc>
          <w:tcPr>
            <w:tcW w:w="1527" w:type="pct"/>
            <w:vAlign w:val="top"/>
            <w:textDirection w:val="lrTb"/>
            <w:noWrap w:val="false"/>
          </w:tcPr>
          <w:p>
            <w:pPr>
              <w:pStyle w:val="1018"/>
              <w:ind w:left="667"/>
              <w:spacing w:before="237" w:line="184" w:lineRule="auto"/>
              <w:rPr>
                <w:color w:val="auto"/>
                <w:sz w:val="22"/>
                <w:szCs w:val="22"/>
                <w:highlight w:val="none"/>
              </w:rPr>
            </w:pPr>
            <w:r>
              <w:rPr>
                <w:color w:val="auto"/>
                <w:spacing w:val="-7"/>
                <w:sz w:val="22"/>
                <w:szCs w:val="22"/>
                <w:highlight w:val="none"/>
              </w:rPr>
              <w:t xml:space="preserve">1.5%</w:t>
            </w:r>
            <w:r>
              <w:rPr>
                <w:color w:val="auto"/>
                <w:highlight w:val="none"/>
              </w:rPr>
            </w:r>
          </w:p>
        </w:tc>
      </w:tr>
      <w:tr>
        <w:trPr>
          <w:trHeight w:val="629"/>
        </w:trPr>
        <w:tc>
          <w:tcPr>
            <w:tcW w:w="3472" w:type="pct"/>
            <w:vAlign w:val="top"/>
            <w:textDirection w:val="lrTb"/>
            <w:noWrap w:val="false"/>
          </w:tcPr>
          <w:p>
            <w:pPr>
              <w:pStyle w:val="1018"/>
              <w:ind w:left="334"/>
              <w:spacing w:before="167" w:line="219" w:lineRule="auto"/>
              <w:rPr>
                <w:color w:val="auto"/>
                <w:sz w:val="22"/>
                <w:szCs w:val="22"/>
                <w:highlight w:val="none"/>
              </w:rPr>
            </w:pPr>
            <w:r>
              <w:rPr>
                <w:color w:val="auto"/>
                <w:spacing w:val="3"/>
                <w:sz w:val="22"/>
                <w:szCs w:val="22"/>
                <w:highlight w:val="none"/>
              </w:rPr>
              <w:t xml:space="preserve">400-1000万元(含1000万元)</w:t>
            </w:r>
            <w:r>
              <w:rPr>
                <w:color w:val="auto"/>
                <w:highlight w:val="none"/>
              </w:rPr>
            </w:r>
          </w:p>
        </w:tc>
        <w:tc>
          <w:tcPr>
            <w:tcW w:w="1527" w:type="pct"/>
            <w:vAlign w:val="top"/>
            <w:textDirection w:val="lrTb"/>
            <w:noWrap w:val="false"/>
          </w:tcPr>
          <w:p>
            <w:pPr>
              <w:pStyle w:val="1018"/>
              <w:ind w:left="667"/>
              <w:spacing w:before="248" w:line="184" w:lineRule="auto"/>
              <w:rPr>
                <w:color w:val="auto"/>
                <w:sz w:val="22"/>
                <w:szCs w:val="22"/>
                <w:highlight w:val="none"/>
              </w:rPr>
            </w:pPr>
            <w:r>
              <w:rPr>
                <w:color w:val="auto"/>
                <w:spacing w:val="-5"/>
                <w:sz w:val="22"/>
                <w:szCs w:val="22"/>
                <w:highlight w:val="none"/>
              </w:rPr>
              <w:t xml:space="preserve">1.1%</w:t>
            </w:r>
            <w:r>
              <w:rPr>
                <w:color w:val="auto"/>
                <w:highlight w:val="none"/>
              </w:rPr>
            </w:r>
          </w:p>
        </w:tc>
      </w:tr>
      <w:tr>
        <w:trPr>
          <w:trHeight w:val="619"/>
        </w:trPr>
        <w:tc>
          <w:tcPr>
            <w:tcW w:w="3472" w:type="pct"/>
            <w:vAlign w:val="top"/>
            <w:textDirection w:val="lrTb"/>
            <w:noWrap w:val="false"/>
          </w:tcPr>
          <w:p>
            <w:pPr>
              <w:pStyle w:val="1018"/>
              <w:ind w:left="255"/>
              <w:spacing w:before="158" w:line="219" w:lineRule="auto"/>
              <w:rPr>
                <w:color w:val="auto"/>
                <w:sz w:val="22"/>
                <w:szCs w:val="22"/>
                <w:highlight w:val="none"/>
              </w:rPr>
            </w:pPr>
            <w:r>
              <w:rPr>
                <w:color w:val="auto"/>
                <w:spacing w:val="3"/>
                <w:sz w:val="22"/>
                <w:szCs w:val="22"/>
                <w:highlight w:val="none"/>
              </w:rPr>
              <w:t xml:space="preserve">1000-5000万元(含5000万元)</w:t>
            </w:r>
            <w:r>
              <w:rPr>
                <w:color w:val="auto"/>
                <w:highlight w:val="none"/>
              </w:rPr>
            </w:r>
          </w:p>
        </w:tc>
        <w:tc>
          <w:tcPr>
            <w:tcW w:w="1527" w:type="pct"/>
            <w:vAlign w:val="top"/>
            <w:textDirection w:val="lrTb"/>
            <w:noWrap w:val="false"/>
          </w:tcPr>
          <w:p>
            <w:pPr>
              <w:pStyle w:val="1018"/>
              <w:ind w:left="667"/>
              <w:spacing w:before="240" w:line="183" w:lineRule="auto"/>
              <w:rPr>
                <w:color w:val="auto"/>
                <w:sz w:val="22"/>
                <w:szCs w:val="22"/>
                <w:highlight w:val="none"/>
              </w:rPr>
            </w:pPr>
            <w:r>
              <w:rPr>
                <w:color w:val="auto"/>
                <w:spacing w:val="-3"/>
                <w:sz w:val="22"/>
                <w:szCs w:val="22"/>
                <w:highlight w:val="none"/>
              </w:rPr>
              <w:t xml:space="preserve">0.8%</w:t>
            </w:r>
            <w:r>
              <w:rPr>
                <w:color w:val="auto"/>
                <w:highlight w:val="none"/>
              </w:rPr>
            </w:r>
          </w:p>
        </w:tc>
      </w:tr>
      <w:tr>
        <w:trPr>
          <w:trHeight w:val="619"/>
        </w:trPr>
        <w:tc>
          <w:tcPr>
            <w:tcW w:w="3472" w:type="pct"/>
            <w:vAlign w:val="top"/>
            <w:textDirection w:val="lrTb"/>
            <w:noWrap w:val="false"/>
          </w:tcPr>
          <w:p>
            <w:pPr>
              <w:pStyle w:val="1018"/>
              <w:ind w:left="735"/>
              <w:spacing w:before="159" w:line="219" w:lineRule="auto"/>
              <w:rPr>
                <w:color w:val="auto"/>
                <w:sz w:val="22"/>
                <w:szCs w:val="22"/>
                <w:highlight w:val="none"/>
              </w:rPr>
            </w:pPr>
            <w:r>
              <w:rPr>
                <w:color w:val="auto"/>
                <w:spacing w:val="5"/>
                <w:sz w:val="22"/>
                <w:szCs w:val="22"/>
                <w:highlight w:val="none"/>
              </w:rPr>
              <w:t xml:space="preserve">5000-1亿元(含1亿元)</w:t>
            </w:r>
            <w:r>
              <w:rPr>
                <w:color w:val="auto"/>
                <w:highlight w:val="none"/>
              </w:rPr>
            </w:r>
          </w:p>
        </w:tc>
        <w:tc>
          <w:tcPr>
            <w:tcW w:w="1527" w:type="pct"/>
            <w:vAlign w:val="top"/>
            <w:textDirection w:val="lrTb"/>
            <w:noWrap w:val="false"/>
          </w:tcPr>
          <w:p>
            <w:pPr>
              <w:pStyle w:val="1018"/>
              <w:ind w:left="586"/>
              <w:spacing w:before="241" w:line="183" w:lineRule="auto"/>
              <w:rPr>
                <w:color w:val="auto"/>
                <w:sz w:val="22"/>
                <w:szCs w:val="22"/>
                <w:highlight w:val="none"/>
              </w:rPr>
            </w:pPr>
            <w:r>
              <w:rPr>
                <w:color w:val="auto"/>
                <w:spacing w:val="-2"/>
                <w:sz w:val="22"/>
                <w:szCs w:val="22"/>
                <w:highlight w:val="none"/>
              </w:rPr>
              <w:t xml:space="preserve">0.25%</w:t>
            </w:r>
            <w:r>
              <w:rPr>
                <w:color w:val="auto"/>
                <w:highlight w:val="none"/>
              </w:rPr>
            </w:r>
          </w:p>
        </w:tc>
      </w:tr>
      <w:tr>
        <w:trPr>
          <w:trHeight w:val="628"/>
        </w:trPr>
        <w:tc>
          <w:tcPr>
            <w:tcW w:w="3472" w:type="pct"/>
            <w:vAlign w:val="top"/>
            <w:textDirection w:val="lrTb"/>
            <w:noWrap w:val="false"/>
          </w:tcPr>
          <w:p>
            <w:pPr>
              <w:pStyle w:val="1018"/>
              <w:ind w:left="815"/>
              <w:spacing w:before="170" w:line="219" w:lineRule="auto"/>
              <w:rPr>
                <w:color w:val="auto"/>
                <w:sz w:val="22"/>
                <w:szCs w:val="22"/>
                <w:highlight w:val="none"/>
              </w:rPr>
            </w:pPr>
            <w:r>
              <w:rPr>
                <w:color w:val="auto"/>
                <w:spacing w:val="5"/>
                <w:sz w:val="22"/>
                <w:szCs w:val="22"/>
                <w:highlight w:val="none"/>
              </w:rPr>
              <w:t xml:space="preserve">1-10亿元(含10亿元)</w:t>
            </w:r>
            <w:r>
              <w:rPr>
                <w:color w:val="auto"/>
                <w:highlight w:val="none"/>
              </w:rPr>
            </w:r>
          </w:p>
        </w:tc>
        <w:tc>
          <w:tcPr>
            <w:tcW w:w="1527" w:type="pct"/>
            <w:vAlign w:val="top"/>
            <w:textDirection w:val="lrTb"/>
            <w:noWrap w:val="false"/>
          </w:tcPr>
          <w:p>
            <w:pPr>
              <w:pStyle w:val="1018"/>
              <w:ind w:left="586"/>
              <w:spacing w:before="252" w:line="183" w:lineRule="auto"/>
              <w:rPr>
                <w:color w:val="auto"/>
                <w:sz w:val="22"/>
                <w:szCs w:val="22"/>
                <w:highlight w:val="none"/>
              </w:rPr>
            </w:pPr>
            <w:r>
              <w:rPr>
                <w:color w:val="auto"/>
                <w:spacing w:val="-3"/>
                <w:sz w:val="22"/>
                <w:szCs w:val="22"/>
                <w:highlight w:val="none"/>
              </w:rPr>
              <w:t xml:space="preserve">0.05%</w:t>
            </w:r>
            <w:r>
              <w:rPr>
                <w:color w:val="auto"/>
                <w:highlight w:val="none"/>
              </w:rPr>
            </w:r>
          </w:p>
        </w:tc>
      </w:tr>
      <w:tr>
        <w:trPr>
          <w:trHeight w:val="619"/>
        </w:trPr>
        <w:tc>
          <w:tcPr>
            <w:tcW w:w="3472" w:type="pct"/>
            <w:vAlign w:val="top"/>
            <w:textDirection w:val="lrTb"/>
            <w:noWrap w:val="false"/>
          </w:tcPr>
          <w:p>
            <w:pPr>
              <w:pStyle w:val="1018"/>
              <w:ind w:left="735"/>
              <w:spacing w:before="162" w:line="219" w:lineRule="auto"/>
              <w:rPr>
                <w:color w:val="auto"/>
                <w:sz w:val="22"/>
                <w:szCs w:val="22"/>
                <w:highlight w:val="none"/>
              </w:rPr>
            </w:pPr>
            <w:r>
              <w:rPr>
                <w:color w:val="auto"/>
                <w:spacing w:val="5"/>
                <w:sz w:val="22"/>
                <w:szCs w:val="22"/>
                <w:highlight w:val="none"/>
              </w:rPr>
              <w:t xml:space="preserve">10-50亿元(含50亿元)</w:t>
            </w:r>
            <w:r>
              <w:rPr>
                <w:color w:val="auto"/>
                <w:highlight w:val="none"/>
              </w:rPr>
            </w:r>
          </w:p>
        </w:tc>
        <w:tc>
          <w:tcPr>
            <w:tcW w:w="1527" w:type="pct"/>
            <w:vAlign w:val="top"/>
            <w:textDirection w:val="lrTb"/>
            <w:noWrap w:val="false"/>
          </w:tcPr>
          <w:p>
            <w:pPr>
              <w:pStyle w:val="1018"/>
              <w:ind w:left="586"/>
              <w:spacing w:before="243" w:line="184" w:lineRule="auto"/>
              <w:rPr>
                <w:color w:val="auto"/>
                <w:sz w:val="22"/>
                <w:szCs w:val="22"/>
                <w:highlight w:val="none"/>
              </w:rPr>
            </w:pPr>
            <w:r>
              <w:rPr>
                <w:color w:val="auto"/>
                <w:spacing w:val="-3"/>
                <w:sz w:val="22"/>
                <w:szCs w:val="22"/>
                <w:highlight w:val="none"/>
              </w:rPr>
              <w:t xml:space="preserve">0.01%</w:t>
            </w:r>
            <w:r>
              <w:rPr>
                <w:color w:val="auto"/>
                <w:highlight w:val="none"/>
              </w:rPr>
            </w:r>
          </w:p>
        </w:tc>
      </w:tr>
      <w:tr>
        <w:trPr>
          <w:trHeight w:val="624"/>
        </w:trPr>
        <w:tc>
          <w:tcPr>
            <w:tcW w:w="3472" w:type="pct"/>
            <w:vAlign w:val="top"/>
            <w:textDirection w:val="lrTb"/>
            <w:noWrap w:val="false"/>
          </w:tcPr>
          <w:p>
            <w:pPr>
              <w:pStyle w:val="1018"/>
              <w:ind w:left="1455"/>
              <w:spacing w:before="164" w:line="220" w:lineRule="auto"/>
              <w:rPr>
                <w:color w:val="auto"/>
                <w:sz w:val="22"/>
                <w:szCs w:val="22"/>
                <w:highlight w:val="none"/>
              </w:rPr>
            </w:pPr>
            <w:r>
              <w:rPr>
                <w:color w:val="auto"/>
                <w:spacing w:val="2"/>
                <w:sz w:val="22"/>
                <w:szCs w:val="22"/>
                <w:highlight w:val="none"/>
              </w:rPr>
              <w:t xml:space="preserve">50亿元以上</w:t>
            </w:r>
            <w:r>
              <w:rPr>
                <w:color w:val="auto"/>
                <w:highlight w:val="none"/>
              </w:rPr>
            </w:r>
          </w:p>
        </w:tc>
        <w:tc>
          <w:tcPr>
            <w:tcW w:w="1527" w:type="pct"/>
            <w:vAlign w:val="top"/>
            <w:textDirection w:val="lrTb"/>
            <w:noWrap w:val="false"/>
          </w:tcPr>
          <w:p>
            <w:pPr>
              <w:pStyle w:val="1018"/>
              <w:ind w:left="507"/>
              <w:spacing w:before="245" w:line="183" w:lineRule="auto"/>
              <w:rPr>
                <w:color w:val="auto"/>
                <w:sz w:val="22"/>
                <w:szCs w:val="22"/>
                <w:highlight w:val="none"/>
              </w:rPr>
            </w:pPr>
            <w:r>
              <w:rPr>
                <w:color w:val="auto"/>
                <w:spacing w:val="-2"/>
                <w:sz w:val="22"/>
                <w:szCs w:val="22"/>
                <w:highlight w:val="none"/>
              </w:rPr>
              <w:t xml:space="preserve">0.005%</w:t>
            </w:r>
            <w:r>
              <w:rPr>
                <w:color w:val="auto"/>
                <w:highlight w:val="none"/>
              </w:rPr>
            </w:r>
          </w:p>
        </w:tc>
      </w:tr>
    </w:tbl>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rPr>
          <w:color w:val="auto"/>
          <w:highlight w:val="none"/>
        </w:rPr>
      </w:r>
    </w:p>
    <w:p>
      <w:pPr>
        <w:keepLines w:val="0"/>
        <w:keepNext w:val="0"/>
        <w:pageBreakBefore w:val="0"/>
        <w:spacing w:line="24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.代理服务费按差额定率累进法计算。</w:t>
      </w:r>
      <w:r>
        <w:rPr>
          <w:color w:val="auto"/>
          <w:highlight w:val="none"/>
        </w:rP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.代理服务费基准金额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按差额定率累进法计算的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中标金额（</w:t>
      </w:r>
      <w:r>
        <w:rPr>
          <w:rFonts w:hint="eastAsia" w:ascii="宋体" w:hAnsi="宋体" w:eastAsia="宋体" w:cs="宋体"/>
          <w:color w:val="auto"/>
          <w:sz w:val="24"/>
          <w:szCs w:val="24"/>
          <w:highlight w:val="none"/>
        </w:rPr>
        <w:t xml:space="preserve">按差额定率累进法计算的</w:t>
      </w:r>
      <w:r>
        <w:rPr>
          <w:rFonts w:hint="eastAsia" w:ascii="宋体" w:hAnsi="宋体" w:eastAsia="宋体" w:cs="宋体"/>
          <w:color w:val="auto"/>
          <w:sz w:val="24"/>
          <w:szCs w:val="24"/>
          <w:highlight w:val="none"/>
        </w:rPr>
        <w:t xml:space="preserve">） * 费率（%）</w:t>
      </w:r>
      <w:r>
        <w:rPr>
          <w:color w:val="auto"/>
          <w:highlight w:val="none"/>
        </w:rP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代理服务费应收取金额=代理服务费基准金额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按差额定率累进法计算的</w:t>
      </w:r>
      <w:r>
        <w:rPr>
          <w:rFonts w:hint="eastAsia" w:ascii="宋体" w:hAnsi="宋体" w:eastAsia="宋体" w:cs="宋体"/>
          <w:color w:val="auto"/>
          <w:sz w:val="24"/>
          <w:szCs w:val="24"/>
          <w:highlight w:val="none"/>
        </w:rPr>
        <w:t xml:space="preserve">）的合计数。</w:t>
      </w:r>
      <w:r>
        <w:rPr>
          <w:color w:val="auto"/>
          <w:highlight w:val="none"/>
        </w:rP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.计算出的代理服务费应收取金额如</w:t>
      </w:r>
      <w:r>
        <w:rPr>
          <w:rFonts w:hint="eastAsia" w:ascii="宋体" w:hAnsi="宋体" w:eastAsia="宋体" w:cs="宋体"/>
          <w:color w:val="auto"/>
          <w:sz w:val="24"/>
          <w:szCs w:val="24"/>
          <w:highlight w:val="none"/>
        </w:rPr>
        <w:t xml:space="preserve">低于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千元，按</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千元收取；</w:t>
      </w:r>
      <w:r>
        <w:rPr>
          <w:color w:val="auto"/>
          <w:highlight w:val="none"/>
        </w:rP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定点类等无金额或事先不能计算出价格总额的</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中标（成交）金额</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万元计算</w:t>
      </w:r>
      <w:r>
        <w:rPr>
          <w:rFonts w:hint="eastAsia" w:ascii="宋体" w:hAnsi="宋体" w:eastAsia="宋体" w:cs="宋体"/>
          <w:color w:val="auto"/>
          <w:sz w:val="24"/>
          <w:szCs w:val="24"/>
          <w:highlight w:val="none"/>
          <w:lang w:val="en-US" w:eastAsia="zh-CN"/>
        </w:rPr>
        <w:t xml:space="preserve">服务费</w:t>
      </w:r>
      <w:r>
        <w:rPr>
          <w:rFonts w:hint="eastAsia" w:ascii="宋体" w:hAnsi="宋体" w:eastAsia="宋体" w:cs="宋体"/>
          <w:color w:val="auto"/>
          <w:sz w:val="24"/>
          <w:szCs w:val="24"/>
          <w:highlight w:val="none"/>
        </w:rPr>
        <w:t xml:space="preserve">。</w:t>
      </w:r>
      <w:r>
        <w:rPr>
          <w:color w:val="auto"/>
          <w:highlight w:val="none"/>
        </w:rPr>
      </w:r>
    </w:p>
    <w:p>
      <w:pPr>
        <w:jc w:val="both"/>
        <w:spacing w:line="240"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rPr>
          <w:color w:val="auto"/>
          <w:highlight w:val="none"/>
        </w:rPr>
      </w:r>
    </w:p>
    <w:p>
      <w:pPr>
        <w:jc w:val="both"/>
        <w:spacing w:line="360" w:lineRule="auto"/>
        <w:widowControl w:val="off"/>
        <w:rPr>
          <w:rFonts w:hint="default" w:ascii="Times New Roman" w:hAnsi="Times New Roman" w:eastAsia="宋体" w:cs="Times New Roman"/>
          <w:b/>
          <w:color w:val="auto"/>
          <w:sz w:val="32"/>
          <w:szCs w:val="32"/>
          <w:highlight w:val="none"/>
        </w:rPr>
        <w:outlineLvl w:val="0"/>
      </w:pPr>
      <w:r>
        <w:rPr>
          <w:rFonts w:hint="default" w:ascii="Times New Roman" w:hAnsi="Times New Roman" w:eastAsia="宋体" w:cs="Times New Roman"/>
          <w:b/>
          <w:color w:val="auto"/>
          <w:sz w:val="32"/>
          <w:szCs w:val="32"/>
          <w:highlight w:val="none"/>
          <w:lang w:val="en-US" w:eastAsia="zh-CN" w:bidi="ar-SA"/>
        </w:rPr>
      </w:r>
      <w:r>
        <w:rPr>
          <w:color w:val="auto"/>
          <w:highlight w:val="none"/>
        </w:rP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clear="all"/>
      </w:r>
      <w:r>
        <w:rPr>
          <w:color w:val="auto"/>
          <w:highlight w:val="none"/>
        </w:rPr>
      </w:r>
    </w:p>
    <w:p>
      <w:pPr>
        <w:numPr>
          <w:ilvl w:val="0"/>
          <w:numId w:val="4"/>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评分标准</w:t>
      </w:r>
      <w:r>
        <w:rPr>
          <w:color w:val="auto"/>
          <w:highlight w:val="none"/>
        </w:rPr>
      </w:r>
    </w:p>
    <w:tbl>
      <w:tblPr>
        <w:tblStyle w:val="1004"/>
        <w:tblW w:w="9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277"/>
        <w:gridCol w:w="799"/>
        <w:gridCol w:w="6786"/>
      </w:tblGrid>
      <w:tr>
        <w:trPr>
          <w:jc w:val="center"/>
          <w:trHeight w:val="621"/>
        </w:trPr>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序号</w:t>
            </w:r>
            <w:r>
              <w:rPr>
                <w:color w:val="auto"/>
                <w:highlight w:val="none"/>
              </w:rPr>
            </w:r>
          </w:p>
        </w:tc>
        <w:tc>
          <w:tcPr>
            <w:tcW w:w="1277"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评分因素</w:t>
            </w:r>
            <w:r>
              <w:rPr>
                <w:color w:val="auto"/>
                <w:highlight w:val="none"/>
              </w:rPr>
            </w:r>
          </w:p>
        </w:tc>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分值</w:t>
            </w:r>
            <w:r>
              <w:rPr>
                <w:color w:val="auto"/>
                <w:highlight w:val="none"/>
              </w:rPr>
            </w:r>
          </w:p>
        </w:tc>
        <w:tc>
          <w:tcPr>
            <w:tcW w:w="6786"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评审标准</w:t>
            </w:r>
            <w:r>
              <w:rPr>
                <w:color w:val="auto"/>
                <w:highlight w:val="none"/>
              </w:rPr>
            </w:r>
          </w:p>
        </w:tc>
      </w:tr>
      <w:tr>
        <w:trPr>
          <w:jc w:val="center"/>
          <w:trHeight w:val="1040"/>
        </w:trPr>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1</w:t>
            </w:r>
            <w:r>
              <w:rPr>
                <w:color w:val="auto"/>
                <w:highlight w:val="none"/>
              </w:rPr>
            </w:r>
          </w:p>
        </w:tc>
        <w:tc>
          <w:tcPr>
            <w:tcW w:w="1277"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价格</w:t>
            </w:r>
            <w:r>
              <w:rPr>
                <w:color w:val="auto"/>
                <w:highlight w:val="none"/>
              </w:rPr>
            </w:r>
          </w:p>
        </w:tc>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30分</w:t>
            </w:r>
            <w:r>
              <w:rPr>
                <w:color w:val="auto"/>
                <w:highlight w:val="none"/>
              </w:rPr>
            </w:r>
          </w:p>
        </w:tc>
        <w:tc>
          <w:tcPr>
            <w:tcW w:w="6786" w:type="dxa"/>
            <w:vAlign w:val="center"/>
            <w:textDirection w:val="lrTb"/>
            <w:noWrap w:val="false"/>
          </w:tcPr>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采用低价优先法计算，即满足招标文件要求且投标价格最低的投标报价为评标基准价，其价格分为满分。其他投标人的价格分按照下列公式计算（小数点保留两位）：投标报价得分=（评标基准价／投标报价）×30</w:t>
            </w:r>
            <w:r>
              <w:rPr>
                <w:color w:val="auto"/>
                <w:highlight w:val="none"/>
              </w:rPr>
            </w:r>
          </w:p>
        </w:tc>
      </w:tr>
      <w:tr>
        <w:trPr>
          <w:jc w:val="center"/>
          <w:trHeight w:val="1845"/>
        </w:trPr>
        <w:tc>
          <w:tcPr>
            <w:tcBorders>
              <w:bottom w:val="single" w:color="auto" w:sz="4" w:space="0"/>
            </w:tcBorders>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2</w:t>
            </w:r>
            <w:r>
              <w:rPr>
                <w:color w:val="auto"/>
                <w:highlight w:val="none"/>
              </w:rPr>
            </w:r>
          </w:p>
        </w:tc>
        <w:tc>
          <w:tcPr>
            <w:tcW w:w="1277" w:type="dxa"/>
            <w:vAlign w:val="center"/>
            <w:textDirection w:val="lrTb"/>
            <w:noWrap w:val="false"/>
          </w:tcPr>
          <w:p>
            <w:pPr>
              <w:jc w:val="center"/>
              <w:rPr>
                <w:rFonts w:hint="default"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人员证书</w:t>
            </w:r>
            <w:r>
              <w:rPr>
                <w:color w:val="auto"/>
                <w:highlight w:val="none"/>
              </w:rPr>
            </w:r>
          </w:p>
        </w:tc>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5分</w:t>
            </w:r>
            <w:r>
              <w:rPr>
                <w:color w:val="auto"/>
                <w:highlight w:val="none"/>
              </w:rPr>
            </w:r>
          </w:p>
        </w:tc>
        <w:tc>
          <w:tcPr>
            <w:tcBorders>
              <w:bottom w:val="single" w:color="auto" w:sz="4" w:space="0"/>
            </w:tcBorders>
            <w:tcW w:w="6786" w:type="dxa"/>
            <w:vAlign w:val="center"/>
            <w:textDirection w:val="lrTb"/>
            <w:noWrap w:val="false"/>
          </w:tcPr>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1、项目经理 </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具有建筑工程专业二级及以上建造师执业资格证书（同时提供B证）的，得 3分。</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2、技术负责人</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具有人力资源和社会保障部门颁发的建设工程（工程管理）专业职称中级及以上证书的，得2分；</w:t>
            </w:r>
            <w:r>
              <w:rPr>
                <w:color w:val="auto"/>
                <w:highlight w:val="none"/>
              </w:rPr>
            </w:r>
          </w:p>
          <w:p>
            <w:pPr>
              <w:rPr>
                <w:rFonts w:hint="default"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注：（1）投标文件中须同时提供： ①上述人员相应证书扫描件或影印件；②人员证书相应颁发的部门网站查询截图；③投标人为上述人员缴纳的近一年内任意连续3个月的社保证明材料，追缴、补缴无效；（2） 上述人员须专人专岗，不得兼任；否则不得分。</w:t>
            </w:r>
            <w:r>
              <w:rPr>
                <w:color w:val="auto"/>
                <w:highlight w:val="none"/>
              </w:rPr>
            </w:r>
          </w:p>
        </w:tc>
      </w:tr>
      <w:tr>
        <w:trPr>
          <w:jc w:val="center"/>
          <w:trHeight w:val="1694"/>
        </w:trPr>
        <w:tc>
          <w:tcPr>
            <w:tcW w:w="799" w:type="dxa"/>
            <w:vAlign w:val="center"/>
            <w:textDirection w:val="lrTb"/>
            <w:noWrap w:val="false"/>
          </w:tcPr>
          <w:p>
            <w:pPr>
              <w:jc w:val="center"/>
              <w:rPr>
                <w:rFonts w:hint="default"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3</w:t>
            </w:r>
            <w:r>
              <w:rPr>
                <w:color w:val="auto"/>
                <w:highlight w:val="none"/>
              </w:rPr>
            </w:r>
          </w:p>
        </w:tc>
        <w:tc>
          <w:tcPr>
            <w:tcW w:w="1277" w:type="dxa"/>
            <w:vAlign w:val="center"/>
            <w:textDirection w:val="lrTb"/>
            <w:noWrap w:val="false"/>
          </w:tcPr>
          <w:p>
            <w:pPr>
              <w:jc w:val="center"/>
              <w:rPr>
                <w:rFonts w:hint="default"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企业实力</w:t>
            </w:r>
            <w:r>
              <w:rPr>
                <w:color w:val="auto"/>
                <w:highlight w:val="none"/>
              </w:rPr>
            </w:r>
          </w:p>
        </w:tc>
        <w:tc>
          <w:tcPr>
            <w:tcW w:w="799" w:type="dxa"/>
            <w:vAlign w:val="center"/>
            <w:textDirection w:val="lrTb"/>
            <w:noWrap w:val="false"/>
          </w:tcPr>
          <w:p>
            <w:pPr>
              <w:jc w:val="center"/>
              <w:rPr>
                <w:rFonts w:hint="default"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4分</w:t>
            </w:r>
            <w:r>
              <w:rPr>
                <w:color w:val="auto"/>
                <w:highlight w:val="none"/>
              </w:rPr>
            </w:r>
          </w:p>
        </w:tc>
        <w:tc>
          <w:tcPr>
            <w:tcW w:w="6786" w:type="dxa"/>
            <w:vAlign w:val="center"/>
            <w:textDirection w:val="lrTb"/>
            <w:noWrap w:val="false"/>
          </w:tcPr>
          <w:p>
            <w:pPr>
              <w:numPr>
                <w:ilvl w:val="0"/>
                <w:numId w:val="5"/>
              </w:num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投标人提供住房和城乡建设厅颁发的“建筑装饰工程设计乙级”及以上工程设计资质证书的得3分。</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2、投标人具有装配式厕所（装配式建筑）或移动厕所相关的发明专利证书，每提供一个证书得0.5分，本项满分1分。 </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注：投标文件中须同时提供证书的扫描件（或影印件），以及发明专利证书在中国知识产权局网站查询截图。</w:t>
            </w:r>
            <w:r>
              <w:rPr>
                <w:color w:val="auto"/>
                <w:highlight w:val="none"/>
              </w:rPr>
            </w:r>
          </w:p>
          <w:p>
            <w:pPr>
              <w:pStyle w:val="1005"/>
              <w:numPr>
                <w:ilvl w:val="0"/>
                <w:numId w:val="0"/>
              </w:numPr>
              <w:rPr>
                <w:rFonts w:hint="eastAsia"/>
                <w:color w:val="auto"/>
                <w:highlight w:val="none"/>
              </w:rPr>
            </w:pPr>
            <w:r>
              <w:rPr>
                <w:rFonts w:hint="eastAsia" w:ascii="仿宋" w:hAnsi="仿宋" w:eastAsia="仿宋" w:cs="仿宋"/>
                <w:color w:val="auto"/>
                <w:sz w:val="24"/>
                <w:szCs w:val="22"/>
                <w:highlight w:val="none"/>
                <w:lang w:val="en-US" w:eastAsia="zh-CN" w:bidi="ar"/>
              </w:rPr>
              <w:t xml:space="preserve">网址： (http://cpquery.cnipa.gov.cn/)</w:t>
            </w:r>
            <w:r>
              <w:rPr>
                <w:color w:val="auto"/>
                <w:highlight w:val="none"/>
              </w:rPr>
            </w:r>
          </w:p>
        </w:tc>
      </w:tr>
      <w:tr>
        <w:trPr>
          <w:jc w:val="center"/>
          <w:trHeight w:val="1694"/>
        </w:trPr>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4</w:t>
            </w:r>
            <w:r>
              <w:rPr>
                <w:color w:val="auto"/>
                <w:highlight w:val="none"/>
              </w:rPr>
            </w:r>
          </w:p>
        </w:tc>
        <w:tc>
          <w:tcPr>
            <w:tcW w:w="1277"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投标人业绩</w:t>
            </w:r>
            <w:r>
              <w:rPr>
                <w:color w:val="auto"/>
                <w:highlight w:val="none"/>
              </w:rPr>
            </w:r>
          </w:p>
        </w:tc>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4分</w:t>
            </w:r>
            <w:r>
              <w:rPr>
                <w:color w:val="auto"/>
                <w:highlight w:val="none"/>
              </w:rPr>
            </w:r>
          </w:p>
        </w:tc>
        <w:tc>
          <w:tcPr>
            <w:tcW w:w="6786" w:type="dxa"/>
            <w:vAlign w:val="center"/>
            <w:textDirection w:val="lrTb"/>
            <w:noWrap w:val="false"/>
          </w:tcPr>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1、投标人自2022年1月1日以来承担过类似业绩每提供一个得1分，最高得4分；</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注：需提供网上中标公示截屏、网址链接、中标通知书、施工合同和验收合格证明五者缺一不可，否则不得分，时间以合同上的时间为准。</w:t>
            </w:r>
            <w:r>
              <w:rPr>
                <w:color w:val="auto"/>
                <w:highlight w:val="none"/>
              </w:rPr>
            </w:r>
          </w:p>
        </w:tc>
      </w:tr>
      <w:tr>
        <w:trPr>
          <w:jc w:val="center"/>
          <w:trHeight w:val="1694"/>
        </w:trPr>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5</w:t>
            </w:r>
            <w:r>
              <w:rPr>
                <w:color w:val="auto"/>
                <w:highlight w:val="none"/>
              </w:rPr>
            </w:r>
          </w:p>
        </w:tc>
        <w:tc>
          <w:tcPr>
            <w:tcW w:w="1277"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技术评审</w:t>
            </w:r>
            <w:r>
              <w:rPr>
                <w:color w:val="auto"/>
                <w:highlight w:val="none"/>
              </w:rPr>
            </w:r>
          </w:p>
        </w:tc>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12分</w:t>
            </w:r>
            <w:r>
              <w:rPr>
                <w:color w:val="auto"/>
                <w:highlight w:val="none"/>
              </w:rPr>
            </w:r>
          </w:p>
        </w:tc>
        <w:tc>
          <w:tcPr>
            <w:tcW w:w="6786" w:type="dxa"/>
            <w:vAlign w:val="center"/>
            <w:textDirection w:val="lrTb"/>
            <w:noWrap w:val="false"/>
          </w:tcPr>
          <w:p>
            <w:pPr>
              <w:numPr>
                <w:ilvl w:val="0"/>
                <w:numId w:val="6"/>
              </w:num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投标人提供已建成的装配式公厕安全性能检测报告： ①具有防 13 级台风作用下抗倾覆和9度地震作用下抗滑移的，得 2分。 ②具有防 12 级台风作用 抗倾覆和8度地震作用下抗滑移的，得 1 分。评分依据：投标人需提供第三方有 权检测机构出具的带有“CMA”标志的“钢结构抗震 性、抗风、 承载能力评估”检测报告扫描件加盖投标人公章；</w:t>
            </w:r>
            <w:r>
              <w:rPr>
                <w:color w:val="auto"/>
                <w:highlight w:val="none"/>
              </w:rPr>
            </w:r>
          </w:p>
          <w:p>
            <w:pPr>
              <w:numPr>
                <w:ilvl w:val="0"/>
                <w:numId w:val="0"/>
              </w:num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2、投标人提供“钢结构焊缝质量”检测报告，得2分。 评分依据：第三方检测机构出具的带有“CMA”标志结论为合格的检测报告扫描件加盖投标人公章； </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3、投标人提供已建成的装配式公厕“地基基础承载能力评估”检测报告，得2分。 评分依据：第三方检测机构出具的带有“CMA”标志结论为满足正常使用要求的检测报告扫描件加盖投标人公章； </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4、投标人提供类似产品具有第三方检测机构出具的带有“CMA”标志的“窒内空气质量检测报告”的，得2分。评分依据：第三方检测机构出具的带有“CMA”标志结论为：厕所管理间，甲醛HCHO≤0.10mg/m³,苯C6H6≤0.11mg/m³,总挥发性有机物TVOC≤0.6mg/m³的检测报告扫描件加盖投标人公章；</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5、投标人提供已建成的装配式公厕具有第三方检测机构出具的带有“CMA”标志“雷电防护装置检测报告”的，得2分。评分依据：第三方检测机构出具的带有“CMA”标志结论为所检接地电阻符合《建筑物防雷装置检测技术规范》GB/T21431-2015的技术要求的检测报告扫描件加盖投标人公章；</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6、投标人提供“装配式公厕检验检测报告”，得2分。评分依据：投标人需提供具有市级产品质量监督检验部门出具带有“CMA”标志的《装配式公厕检验检测报告》，检测报告扫描件加盖投标人公章。</w:t>
            </w:r>
            <w:r>
              <w:rPr>
                <w:color w:val="auto"/>
                <w:highlight w:val="none"/>
              </w:rPr>
            </w:r>
          </w:p>
        </w:tc>
      </w:tr>
      <w:tr>
        <w:trPr>
          <w:jc w:val="center"/>
          <w:trHeight w:val="628"/>
        </w:trPr>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6</w:t>
            </w:r>
            <w:r>
              <w:rPr>
                <w:color w:val="auto"/>
                <w:highlight w:val="none"/>
              </w:rPr>
            </w:r>
          </w:p>
        </w:tc>
        <w:tc>
          <w:tcPr>
            <w:tcW w:w="1277"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售后服务方案</w:t>
            </w:r>
            <w:r>
              <w:rPr>
                <w:color w:val="auto"/>
                <w:highlight w:val="none"/>
              </w:rPr>
            </w:r>
          </w:p>
        </w:tc>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15分</w:t>
            </w:r>
            <w:r>
              <w:rPr>
                <w:color w:val="auto"/>
                <w:highlight w:val="none"/>
              </w:rPr>
            </w:r>
          </w:p>
        </w:tc>
        <w:tc>
          <w:tcPr>
            <w:tcW w:w="6786" w:type="dxa"/>
            <w:vAlign w:val="center"/>
            <w:textDirection w:val="lrTb"/>
            <w:noWrap w:val="false"/>
          </w:tcPr>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售后服务总体方案：评委根据投标人承诺的服务响应时间、质保期外服务承诺、服务措施、人员培训、专业售后服务人员、应急方案、本地化服务、备品备件及优惠承诺等酌情评分，内容详实、科学、有对性、可操作性强得15分；方案较为完整，基本响应需求，得9分；方案不完整、响应度低、可行性较低，得4分；不提供不得分。</w:t>
            </w:r>
            <w:r>
              <w:rPr>
                <w:color w:val="auto"/>
                <w:highlight w:val="none"/>
              </w:rPr>
            </w:r>
          </w:p>
        </w:tc>
      </w:tr>
      <w:tr>
        <w:trPr>
          <w:jc w:val="center"/>
          <w:trHeight w:val="1694"/>
        </w:trPr>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7</w:t>
            </w:r>
            <w:r>
              <w:rPr>
                <w:color w:val="auto"/>
                <w:highlight w:val="none"/>
              </w:rPr>
            </w:r>
          </w:p>
        </w:tc>
        <w:tc>
          <w:tcPr>
            <w:tcW w:w="1277"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设计方案</w:t>
            </w:r>
            <w:r>
              <w:rPr>
                <w:color w:val="auto"/>
                <w:highlight w:val="none"/>
              </w:rPr>
            </w:r>
          </w:p>
        </w:tc>
        <w:tc>
          <w:tcPr>
            <w:tcW w:w="799"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15分</w:t>
            </w:r>
            <w:r>
              <w:rPr>
                <w:color w:val="auto"/>
                <w:highlight w:val="none"/>
              </w:rPr>
            </w:r>
          </w:p>
        </w:tc>
        <w:tc>
          <w:tcPr>
            <w:tcW w:w="6786" w:type="dxa"/>
            <w:vAlign w:val="center"/>
            <w:textDirection w:val="lrTb"/>
            <w:noWrap w:val="false"/>
          </w:tcPr>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投标人须同时提供效果图、平面图、基础图（要求能结合现场实际情况提供合理可行的给水、排污、供电图及解决方案），评委根据提供图纸的完整性、设计的合理性、美观度、针对强等得15分；设计方案合理、视觉效果存在轻微的不足或可改进之处得8分；设计的合理性、效果图的视觉效果一般的的得4分；设计的合理性、效果图的视觉效果较差的得2分；不提供不得分。</w:t>
            </w:r>
            <w:r>
              <w:rPr>
                <w:color w:val="auto"/>
                <w:highlight w:val="none"/>
              </w:rPr>
            </w:r>
          </w:p>
        </w:tc>
      </w:tr>
      <w:tr>
        <w:trPr>
          <w:jc w:val="center"/>
          <w:trHeight w:val="1694"/>
        </w:trPr>
        <w:tc>
          <w:tcPr>
            <w:tcW w:w="799" w:type="dxa"/>
            <w:vAlign w:val="center"/>
            <w:textDirection w:val="lrTb"/>
            <w:noWrap w:val="false"/>
          </w:tcPr>
          <w:p>
            <w:pPr>
              <w:jc w:val="center"/>
              <w:rPr>
                <w:rFonts w:hint="default"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8</w:t>
            </w:r>
            <w:r>
              <w:rPr>
                <w:color w:val="auto"/>
                <w:highlight w:val="none"/>
              </w:rPr>
            </w:r>
          </w:p>
        </w:tc>
        <w:tc>
          <w:tcPr>
            <w:tcW w:w="1277" w:type="dxa"/>
            <w:vAlign w:val="center"/>
            <w:textDirection w:val="lrTb"/>
            <w:noWrap w:val="false"/>
          </w:tcPr>
          <w:p>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项目现场吊装施工方案</w:t>
            </w:r>
            <w:r>
              <w:rPr>
                <w:color w:val="auto"/>
                <w:highlight w:val="none"/>
              </w:rPr>
            </w:r>
          </w:p>
        </w:tc>
        <w:tc>
          <w:tcPr>
            <w:tcW w:w="799" w:type="dxa"/>
            <w:vAlign w:val="center"/>
            <w:textDirection w:val="lrTb"/>
            <w:noWrap w:val="false"/>
          </w:tcPr>
          <w:p>
            <w:pPr>
              <w:jc w:val="center"/>
              <w:rPr>
                <w:rFonts w:hint="default"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15分</w:t>
            </w:r>
            <w:r>
              <w:rPr>
                <w:color w:val="auto"/>
                <w:highlight w:val="none"/>
              </w:rPr>
            </w:r>
          </w:p>
        </w:tc>
        <w:tc>
          <w:tcPr>
            <w:tcW w:w="6786" w:type="dxa"/>
            <w:vAlign w:val="center"/>
            <w:textDirection w:val="lrTb"/>
            <w:noWrap w:val="false"/>
          </w:tcPr>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根据投标方提供的项目现场吊装安装方案的可靠性、合理性、可行性等；</w:t>
            </w:r>
            <w:r>
              <w:rPr>
                <w:color w:val="auto"/>
                <w:highlight w:val="none"/>
              </w:rPr>
            </w:r>
          </w:p>
          <w:p>
            <w:p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
              </w:rPr>
              <w:t xml:space="preserve">综合评定优秀、方案合理全面、措施合理、可实施性强的得15分；综合评定良好、方案较全面、措施较合理、可实施性良好的得8分；综合评定一般，方案一般，基本满足采购需求的得4分，综合评定较差，方案不能满足采购需求的得2分，不提供不得分。</w:t>
            </w:r>
            <w:r>
              <w:rPr>
                <w:color w:val="auto"/>
                <w:highlight w:val="none"/>
              </w:rPr>
            </w:r>
          </w:p>
        </w:tc>
      </w:tr>
    </w:tbl>
    <w:p>
      <w:pPr>
        <w:spacing w:line="320" w:lineRule="exact"/>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注：1、评标结果精确到小数点后两位。</w:t>
      </w:r>
      <w:r>
        <w:rPr>
          <w:color w:val="auto"/>
          <w:highlight w:val="none"/>
        </w:rPr>
      </w:r>
    </w:p>
    <w:p>
      <w:pPr>
        <w:numPr>
          <w:ilvl w:val="0"/>
          <w:numId w:val="7"/>
        </w:numPr>
        <w:ind w:firstLine="422"/>
        <w:jc w:val="both"/>
        <w:spacing w:after="120" w:line="320" w:lineRule="exact"/>
        <w:widowControl w:val="off"/>
        <w:rPr>
          <w:rFonts w:hint="eastAsia" w:ascii="仿宋" w:hAnsi="仿宋" w:eastAsia="仿宋" w:cs="仿宋"/>
          <w:b/>
          <w:bCs/>
          <w:color w:val="auto"/>
          <w:sz w:val="21"/>
          <w:szCs w:val="24"/>
          <w:highlight w:val="none"/>
        </w:rPr>
      </w:pPr>
      <w:r>
        <w:rPr>
          <w:rFonts w:hint="eastAsia" w:ascii="仿宋" w:hAnsi="仿宋" w:eastAsia="仿宋" w:cs="仿宋"/>
          <w:b/>
          <w:bCs/>
          <w:color w:val="auto"/>
          <w:sz w:val="21"/>
          <w:szCs w:val="24"/>
          <w:highlight w:val="none"/>
          <w:lang w:val="en-US" w:eastAsia="zh-CN" w:bidi="ar-SA"/>
        </w:rPr>
        <w:t xml:space="preserve">签订合同前，中标人必须向采购人提交其投标文件中所有扫描件的原件，采购人核查无误后，签订合同。如中标人不能在采购人规定的时间内向采购人提供原件，将被采购人视为放弃中标资格。</w:t>
      </w:r>
      <w:r>
        <w:rPr>
          <w:color w:val="auto"/>
          <w:highlight w:val="none"/>
        </w:rPr>
      </w:r>
    </w:p>
    <w:p>
      <w:pPr>
        <w:ind w:firstLine="422"/>
        <w:jc w:val="both"/>
        <w:spacing w:after="120" w:line="320" w:lineRule="exact"/>
        <w:widowControl w:val="off"/>
        <w:rPr>
          <w:rFonts w:hint="eastAsia" w:ascii="仿宋" w:hAnsi="仿宋" w:eastAsia="仿宋" w:cs="仿宋"/>
          <w:color w:val="auto"/>
          <w:sz w:val="22"/>
          <w:szCs w:val="22"/>
          <w:highlight w:val="none"/>
        </w:rPr>
      </w:pPr>
      <w:r>
        <w:rPr>
          <w:rFonts w:hint="eastAsia" w:ascii="仿宋" w:hAnsi="仿宋" w:eastAsia="仿宋" w:cs="仿宋"/>
          <w:b/>
          <w:bCs/>
          <w:color w:val="auto"/>
          <w:sz w:val="21"/>
          <w:szCs w:val="21"/>
          <w:highlight w:val="none"/>
          <w:lang w:val="en-US" w:eastAsia="zh-CN" w:bidi="ar-SA"/>
        </w:rPr>
        <w:t xml:space="preserve">3、</w:t>
      </w:r>
      <w:r>
        <w:rPr>
          <w:rFonts w:hint="eastAsia" w:ascii="仿宋" w:hAnsi="仿宋" w:eastAsia="仿宋" w:cs="仿宋"/>
          <w:b/>
          <w:bCs/>
          <w:color w:val="auto"/>
          <w:sz w:val="22"/>
          <w:szCs w:val="22"/>
          <w:highlight w:val="none"/>
          <w:lang w:val="en-US" w:eastAsia="zh-CN" w:bidi="ar-SA"/>
        </w:rPr>
        <w:t xml:space="preserve">本项目为专门面向中小微的项目，小微、小型企业不再享受价格给予</w:t>
      </w:r>
      <w:r>
        <w:rPr>
          <w:rFonts w:hint="eastAsia" w:ascii="仿宋" w:hAnsi="仿宋" w:eastAsia="仿宋" w:cs="仿宋"/>
          <w:b/>
          <w:bCs/>
          <w:color w:val="auto"/>
          <w:sz w:val="24"/>
          <w:szCs w:val="24"/>
          <w:highlight w:val="none"/>
          <w:lang w:val="en-US" w:eastAsia="zh-CN" w:bidi="ar-SA"/>
        </w:rPr>
        <w:t xml:space="preserve">10%～20%的优惠政策。</w:t>
      </w:r>
      <w:r>
        <w:rPr>
          <w:rFonts w:hint="eastAsia" w:ascii="仿宋" w:hAnsi="仿宋" w:eastAsia="仿宋" w:cs="仿宋"/>
          <w:color w:val="auto"/>
          <w:sz w:val="22"/>
          <w:szCs w:val="22"/>
          <w:highlight w:val="none"/>
          <w:lang w:val="en-US" w:eastAsia="zh-CN" w:bidi="ar-SA"/>
        </w:rPr>
        <w:t xml:space="preserve">本章说明：</w:t>
      </w:r>
      <w:r>
        <w:rPr>
          <w:color w:val="auto"/>
          <w:highlight w:val="none"/>
        </w:rPr>
      </w:r>
    </w:p>
    <w:p>
      <w:pPr>
        <w:ind w:right="-199" w:firstLine="480"/>
        <w:jc w:val="left"/>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江苏省政府采购信用管理暂行办法》（苏财规〔2018〕18号）的规定，采购人或者采购代理机构应当按照财政部要求在信用审查环节完成投标人的信用评价结果查询，评价结果参考期限从项目开标之日前3年起算。对不符合《中华人民共和国政府采购法》第二十二条规定条件的投标人，应当拒绝其参加政府采购活动。</w:t>
      </w:r>
      <w:r>
        <w:rPr>
          <w:color w:val="auto"/>
          <w:highlight w:val="none"/>
        </w:rPr>
      </w:r>
    </w:p>
    <w:p>
      <w:pPr>
        <w:ind w:right="-199" w:firstLine="480"/>
        <w:spacing w:line="320" w:lineRule="exact"/>
        <w:rPr>
          <w:rFonts w:hint="eastAsia" w:ascii="仿宋" w:hAnsi="仿宋" w:eastAsia="仿宋" w:cs="仿宋"/>
          <w:color w:val="auto"/>
          <w:highlight w:val="none"/>
        </w:rPr>
      </w:pPr>
      <w:r>
        <w:rPr>
          <w:rFonts w:hint="eastAsia" w:ascii="仿宋" w:hAnsi="仿宋" w:eastAsia="仿宋" w:cs="仿宋"/>
          <w:color w:val="auto"/>
          <w:sz w:val="22"/>
          <w:szCs w:val="22"/>
          <w:highlight w:val="none"/>
        </w:rPr>
        <w:t xml:space="preserve">本项目采用综合评分法。</w:t>
      </w:r>
      <w:r>
        <w:rPr>
          <w:color w:val="auto"/>
          <w:highlight w:val="none"/>
        </w:rPr>
      </w:r>
    </w:p>
    <w:p>
      <w:pPr>
        <w:rPr>
          <w:rFonts w:hint="eastAsia" w:ascii="仿宋" w:hAnsi="仿宋" w:cs="仿宋"/>
          <w:color w:val="auto"/>
          <w:highlight w:val="none"/>
        </w:rPr>
      </w:pPr>
      <w:r>
        <w:rPr>
          <w:rFonts w:hint="eastAsia" w:ascii="仿宋" w:hAnsi="仿宋" w:cs="仿宋"/>
          <w:color w:val="auto"/>
          <w:highlight w:val="none"/>
        </w:rPr>
        <w:br w:type="page" w:clear="all"/>
      </w:r>
      <w:r>
        <w:rPr>
          <w:color w:val="auto"/>
          <w:highlight w:val="none"/>
        </w:rPr>
      </w:r>
    </w:p>
    <w:p>
      <w:pPr>
        <w:pStyle w:val="1015"/>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numPr>
          <w:ilvl w:val="0"/>
          <w:numId w:val="4"/>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  拟签订的合同文本</w:t>
      </w:r>
      <w:r>
        <w:rPr>
          <w:color w:val="auto"/>
          <w:highlight w:val="none"/>
        </w:rPr>
      </w:r>
    </w:p>
    <w:p>
      <w:pPr>
        <w:ind w:firstLine="602"/>
        <w:jc w:val="center"/>
        <w:spacing w:after="200"/>
        <w:widowControl/>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eastAsia="zh-CN"/>
        </w:rPr>
        <w:t xml:space="preserve">智能化公厕采购项目</w:t>
      </w:r>
      <w:r>
        <w:rPr>
          <w:rFonts w:hint="eastAsia" w:ascii="仿宋" w:hAnsi="仿宋" w:eastAsia="仿宋" w:cs="仿宋"/>
          <w:b/>
          <w:bCs/>
          <w:color w:val="auto"/>
          <w:sz w:val="30"/>
          <w:szCs w:val="30"/>
          <w:highlight w:val="none"/>
        </w:rPr>
        <w:t xml:space="preserve">拟签订的合同文本</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甲方：</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乙方：</w:t>
      </w:r>
      <w:r>
        <w:rPr>
          <w:color w:val="auto"/>
          <w:highlight w:val="none"/>
        </w:rPr>
      </w:r>
    </w:p>
    <w:p>
      <w:pPr>
        <w:ind w:firstLine="1024"/>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沛县城市管理局 </w:t>
      </w:r>
      <w:r>
        <w:rPr>
          <w:rFonts w:hint="eastAsia" w:ascii="仿宋" w:hAnsi="仿宋" w:eastAsia="仿宋" w:cs="仿宋"/>
          <w:color w:val="auto"/>
          <w:sz w:val="24"/>
          <w:highlight w:val="none"/>
        </w:rPr>
        <w:t xml:space="preserve">以</w:t>
      </w:r>
      <w:r>
        <w:rPr>
          <w:rFonts w:hint="eastAsia" w:ascii="仿宋" w:hAnsi="仿宋" w:eastAsia="仿宋" w:cs="仿宋"/>
          <w:color w:val="auto"/>
          <w:sz w:val="24"/>
          <w:highlight w:val="none"/>
          <w:u w:val="single"/>
        </w:rPr>
        <w:t xml:space="preserve">公开招标方式 </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项目</w:t>
      </w:r>
      <w:r>
        <w:rPr>
          <w:rFonts w:hint="eastAsia" w:ascii="仿宋" w:hAnsi="仿宋" w:eastAsia="仿宋" w:cs="仿宋"/>
          <w:color w:val="auto"/>
          <w:sz w:val="24"/>
          <w:highlight w:val="none"/>
        </w:rPr>
        <w:t xml:space="preserve">进行了采购。经评标委员会评审，确定 </w:t>
      </w:r>
      <w:r>
        <w:rPr>
          <w:rFonts w:hint="eastAsia" w:ascii="仿宋" w:hAnsi="仿宋" w:eastAsia="仿宋" w:cs="仿宋"/>
          <w:color w:val="auto"/>
          <w:sz w:val="24"/>
          <w:highlight w:val="none"/>
          <w:u w:val="single"/>
        </w:rPr>
        <w:t xml:space="preserve">（中标人名称）</w:t>
      </w:r>
      <w:r>
        <w:rPr>
          <w:rFonts w:hint="eastAsia" w:ascii="仿宋" w:hAnsi="仿宋" w:eastAsia="仿宋" w:cs="仿宋"/>
          <w:color w:val="auto"/>
          <w:sz w:val="24"/>
          <w:highlight w:val="none"/>
        </w:rPr>
        <w:t xml:space="preserve">为该项目中标人。现于中标通知书发出之日起三十日内，按照采购文件确定的事项签订本合同。</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根据《中华人民共和国民法典》《中华人民共和国政府采购法》《</w:t>
      </w:r>
      <w:r>
        <w:rPr>
          <w:rFonts w:hint="eastAsia" w:ascii="仿宋" w:hAnsi="仿宋" w:eastAsia="仿宋" w:cs="仿宋"/>
          <w:color w:val="auto"/>
          <w:sz w:val="24"/>
          <w:highlight w:val="none"/>
        </w:rPr>
        <w:t xml:space="preserve">中华人民共和国民法典</w:t>
      </w:r>
      <w:r>
        <w:rPr>
          <w:rFonts w:hint="eastAsia" w:ascii="仿宋" w:hAnsi="仿宋" w:eastAsia="仿宋" w:cs="仿宋"/>
          <w:color w:val="auto"/>
          <w:sz w:val="24"/>
          <w:highlight w:val="none"/>
          <w:lang w:val="zh-CN"/>
        </w:rPr>
        <w:t xml:space="preserve">》等相关法律法规之规定，按照平等、自愿、公平和诚实信用的原则，经</w:t>
      </w:r>
      <w:r>
        <w:rPr>
          <w:rFonts w:hint="eastAsia" w:ascii="仿宋" w:hAnsi="仿宋" w:eastAsia="仿宋" w:cs="仿宋"/>
          <w:color w:val="auto"/>
          <w:sz w:val="24"/>
          <w:highlight w:val="none"/>
          <w:u w:val="single"/>
        </w:rPr>
        <w:t xml:space="preserve">沛县城市管理局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 xml:space="preserve">以下简称：甲方）和</w:t>
      </w:r>
      <w:r>
        <w:rPr>
          <w:rFonts w:hint="eastAsia" w:ascii="仿宋" w:hAnsi="仿宋" w:eastAsia="仿宋" w:cs="仿宋"/>
          <w:color w:val="auto"/>
          <w:sz w:val="24"/>
          <w:highlight w:val="none"/>
          <w:u w:val="single"/>
        </w:rPr>
        <w:t xml:space="preserve"> （中标人名称）（</w:t>
      </w:r>
      <w:r>
        <w:rPr>
          <w:rFonts w:hint="eastAsia" w:ascii="仿宋" w:hAnsi="仿宋" w:eastAsia="仿宋" w:cs="仿宋"/>
          <w:color w:val="auto"/>
          <w:sz w:val="24"/>
          <w:highlight w:val="none"/>
          <w:lang w:val="zh-CN"/>
        </w:rPr>
        <w:t xml:space="preserve">以下简称：乙方）协商一致，约定以下合同</w:t>
      </w:r>
      <w:r>
        <w:rPr>
          <w:rFonts w:hint="eastAsia" w:ascii="仿宋" w:hAnsi="仿宋" w:eastAsia="仿宋" w:cs="仿宋"/>
          <w:color w:val="auto"/>
          <w:sz w:val="24"/>
          <w:highlight w:val="none"/>
        </w:rPr>
        <w:t xml:space="preserve">条款，以兹共同遵守、全面履行。</w:t>
      </w:r>
      <w:r>
        <w:rPr>
          <w:color w:val="auto"/>
          <w:highlight w:val="none"/>
        </w:rPr>
      </w:r>
    </w:p>
    <w:p>
      <w:pPr>
        <w:ind w:firstLine="482"/>
        <w:spacing w:line="560" w:lineRule="exact"/>
        <w:rPr>
          <w:rFonts w:hint="eastAsia" w:ascii="仿宋" w:hAnsi="仿宋" w:eastAsia="仿宋" w:cs="仿宋"/>
          <w:b/>
          <w:color w:val="auto"/>
          <w:sz w:val="24"/>
          <w:highlight w:val="none"/>
        </w:rPr>
      </w:pPr>
      <w:r>
        <w:rPr>
          <w:color w:val="auto"/>
          <w:highlight w:val="none"/>
        </w:rPr>
      </w:r>
      <w:bookmarkStart w:id="2" w:name="_Toc20421"/>
      <w:r>
        <w:rPr>
          <w:color w:val="auto"/>
          <w:highlight w:val="none"/>
        </w:rPr>
      </w:r>
      <w:bookmarkEnd w:id="2"/>
      <w:r>
        <w:rPr>
          <w:color w:val="auto"/>
          <w:highlight w:val="none"/>
        </w:rPr>
      </w:r>
      <w:bookmarkStart w:id="3" w:name="_Toc22967"/>
      <w:r>
        <w:rPr>
          <w:color w:val="auto"/>
          <w:highlight w:val="none"/>
        </w:rPr>
      </w:r>
      <w:bookmarkEnd w:id="3"/>
      <w:r>
        <w:rPr>
          <w:color w:val="auto"/>
          <w:highlight w:val="none"/>
        </w:rPr>
      </w:r>
      <w:bookmarkStart w:id="4" w:name="_Toc28855"/>
      <w:r>
        <w:rPr>
          <w:color w:val="auto"/>
          <w:highlight w:val="none"/>
        </w:rPr>
      </w:r>
      <w:bookmarkEnd w:id="4"/>
      <w:r>
        <w:rPr>
          <w:color w:val="auto"/>
          <w:highlight w:val="none"/>
        </w:rPr>
      </w:r>
      <w:bookmarkStart w:id="5" w:name="_Toc15367"/>
      <w:r>
        <w:rPr>
          <w:color w:val="auto"/>
          <w:highlight w:val="none"/>
        </w:rPr>
      </w:r>
      <w:bookmarkEnd w:id="5"/>
      <w:r>
        <w:rPr>
          <w:color w:val="auto"/>
          <w:highlight w:val="none"/>
        </w:rPr>
      </w:r>
      <w:bookmarkStart w:id="6" w:name="_Toc19273"/>
      <w:r>
        <w:rPr>
          <w:color w:val="auto"/>
          <w:highlight w:val="none"/>
        </w:rPr>
      </w:r>
      <w:bookmarkEnd w:id="6"/>
      <w:r>
        <w:rPr>
          <w:rFonts w:hint="eastAsia" w:ascii="仿宋" w:hAnsi="仿宋" w:eastAsia="仿宋" w:cs="仿宋"/>
          <w:b/>
          <w:color w:val="auto"/>
          <w:sz w:val="24"/>
          <w:highlight w:val="none"/>
        </w:rPr>
        <w:t xml:space="preserve">1.1 合同组成部分</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本合同及其补充合同、变更协议；</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中标通知书；</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招标文件（含澄清或者修改文件）；</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投标文件（含澄清或者说明文件）；</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 其他相关采购文件。</w:t>
      </w:r>
      <w:r>
        <w:rPr>
          <w:color w:val="auto"/>
          <w:highlight w:val="none"/>
        </w:rPr>
      </w:r>
    </w:p>
    <w:p>
      <w:pPr>
        <w:ind w:firstLine="482"/>
        <w:spacing w:line="560" w:lineRule="exact"/>
        <w:rPr>
          <w:rFonts w:hint="eastAsia" w:ascii="仿宋" w:hAnsi="仿宋" w:eastAsia="仿宋" w:cs="仿宋"/>
          <w:b/>
          <w:color w:val="auto"/>
          <w:sz w:val="24"/>
          <w:highlight w:val="none"/>
        </w:rPr>
      </w:pPr>
      <w:r>
        <w:rPr>
          <w:color w:val="auto"/>
          <w:highlight w:val="none"/>
        </w:rPr>
      </w:r>
      <w:bookmarkStart w:id="7" w:name="_Toc18585"/>
      <w:r>
        <w:rPr>
          <w:color w:val="auto"/>
          <w:highlight w:val="none"/>
        </w:rPr>
      </w:r>
      <w:bookmarkEnd w:id="7"/>
      <w:r>
        <w:rPr>
          <w:color w:val="auto"/>
          <w:highlight w:val="none"/>
        </w:rPr>
      </w:r>
      <w:bookmarkStart w:id="8" w:name="_Toc6773"/>
      <w:r>
        <w:rPr>
          <w:color w:val="auto"/>
          <w:highlight w:val="none"/>
        </w:rPr>
      </w:r>
      <w:bookmarkEnd w:id="8"/>
      <w:r>
        <w:rPr>
          <w:color w:val="auto"/>
          <w:highlight w:val="none"/>
        </w:rPr>
      </w:r>
      <w:bookmarkStart w:id="9" w:name="_Toc2918"/>
      <w:r>
        <w:rPr>
          <w:color w:val="auto"/>
          <w:highlight w:val="none"/>
        </w:rPr>
      </w:r>
      <w:bookmarkEnd w:id="9"/>
      <w:r>
        <w:rPr>
          <w:color w:val="auto"/>
          <w:highlight w:val="none"/>
        </w:rPr>
      </w:r>
      <w:bookmarkStart w:id="10" w:name="_Toc22185"/>
      <w:r>
        <w:rPr>
          <w:color w:val="auto"/>
          <w:highlight w:val="none"/>
        </w:rPr>
      </w:r>
      <w:bookmarkEnd w:id="10"/>
      <w:r>
        <w:rPr>
          <w:color w:val="auto"/>
          <w:highlight w:val="none"/>
        </w:rPr>
      </w:r>
      <w:bookmarkStart w:id="11" w:name="_Toc6311"/>
      <w:r>
        <w:rPr>
          <w:color w:val="auto"/>
          <w:highlight w:val="none"/>
        </w:rPr>
      </w:r>
      <w:bookmarkEnd w:id="11"/>
      <w:r>
        <w:rPr>
          <w:rFonts w:hint="eastAsia" w:ascii="仿宋" w:hAnsi="仿宋" w:eastAsia="仿宋" w:cs="仿宋"/>
          <w:b/>
          <w:color w:val="auto"/>
          <w:sz w:val="24"/>
          <w:highlight w:val="none"/>
        </w:rPr>
        <w:t xml:space="preserve">1.2 标的</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 项目名称：</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 项目数量：</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项目质量：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color w:val="auto"/>
          <w:highlight w:val="none"/>
        </w:rPr>
      </w:r>
    </w:p>
    <w:p>
      <w:pPr>
        <w:ind w:firstLine="482"/>
        <w:spacing w:line="560" w:lineRule="exact"/>
        <w:rPr>
          <w:rFonts w:hint="eastAsia" w:ascii="仿宋" w:hAnsi="仿宋" w:eastAsia="仿宋" w:cs="仿宋"/>
          <w:b/>
          <w:color w:val="auto"/>
          <w:sz w:val="24"/>
          <w:highlight w:val="none"/>
        </w:rPr>
      </w:pPr>
      <w:r>
        <w:rPr>
          <w:color w:val="auto"/>
          <w:highlight w:val="none"/>
        </w:rPr>
      </w:r>
      <w:bookmarkStart w:id="12" w:name="_Toc5635"/>
      <w:r>
        <w:rPr>
          <w:color w:val="auto"/>
          <w:highlight w:val="none"/>
        </w:rPr>
      </w:r>
      <w:bookmarkEnd w:id="12"/>
      <w:r>
        <w:rPr>
          <w:color w:val="auto"/>
          <w:highlight w:val="none"/>
        </w:rPr>
      </w:r>
      <w:bookmarkStart w:id="13" w:name="_Toc1386"/>
      <w:r>
        <w:rPr>
          <w:color w:val="auto"/>
          <w:highlight w:val="none"/>
        </w:rPr>
      </w:r>
      <w:bookmarkEnd w:id="13"/>
      <w:r>
        <w:rPr>
          <w:color w:val="auto"/>
          <w:highlight w:val="none"/>
        </w:rPr>
      </w:r>
      <w:bookmarkStart w:id="14" w:name="_Toc13918"/>
      <w:r>
        <w:rPr>
          <w:color w:val="auto"/>
          <w:highlight w:val="none"/>
        </w:rPr>
      </w:r>
      <w:bookmarkEnd w:id="14"/>
      <w:r>
        <w:rPr>
          <w:color w:val="auto"/>
          <w:highlight w:val="none"/>
        </w:rPr>
      </w:r>
      <w:bookmarkStart w:id="15" w:name="_Toc21124"/>
      <w:r>
        <w:rPr>
          <w:color w:val="auto"/>
          <w:highlight w:val="none"/>
        </w:rPr>
      </w:r>
      <w:bookmarkEnd w:id="15"/>
      <w:r>
        <w:rPr>
          <w:color w:val="auto"/>
          <w:highlight w:val="none"/>
        </w:rPr>
      </w:r>
      <w:bookmarkStart w:id="16" w:name="_Toc4929"/>
      <w:r>
        <w:rPr>
          <w:color w:val="auto"/>
          <w:highlight w:val="none"/>
        </w:rPr>
      </w:r>
      <w:bookmarkEnd w:id="16"/>
      <w:r>
        <w:rPr>
          <w:rFonts w:hint="eastAsia" w:ascii="仿宋" w:hAnsi="仿宋" w:eastAsia="仿宋" w:cs="仿宋"/>
          <w:b/>
          <w:color w:val="auto"/>
          <w:sz w:val="24"/>
          <w:highlight w:val="none"/>
        </w:rPr>
        <w:t xml:space="preserve">1.3 价款</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元人民币）。</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分项价格：</w:t>
      </w:r>
      <w:r>
        <w:rPr>
          <w:color w:val="auto"/>
          <w:highlight w:val="none"/>
        </w:rPr>
      </w:r>
    </w:p>
    <w:tbl>
      <w:tblPr>
        <w:tblStyle w:val="1004"/>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tcPr>
          <w:p>
            <w:pPr>
              <w:pStyle w:val="1022"/>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rPr>
                <w:color w:val="auto"/>
                <w:highlight w:val="none"/>
              </w:rPr>
            </w:r>
          </w:p>
        </w:tc>
        <w:tc>
          <w:tcPr>
            <w:tcW w:w="340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分项名称</w:t>
            </w:r>
            <w:r>
              <w:rPr>
                <w:color w:val="auto"/>
                <w:highlight w:val="none"/>
              </w:rPr>
            </w:r>
          </w:p>
        </w:tc>
        <w:tc>
          <w:tcPr>
            <w:tcW w:w="2552" w:type="dxa"/>
            <w:vAlign w:val="center"/>
            <w:textDirection w:val="lrTb"/>
            <w:noWrap/>
          </w:tcPr>
          <w:p>
            <w:pPr>
              <w:pStyle w:val="1022"/>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w:t>
            </w:r>
            <w:r>
              <w:rPr>
                <w:color w:val="auto"/>
                <w:highlight w:val="none"/>
              </w:rPr>
            </w:r>
          </w:p>
        </w:tc>
      </w:tr>
      <w:tr>
        <w:trPr>
          <w:jc w:val="center"/>
          <w:trHeight w:val="635"/>
        </w:trPr>
        <w:tc>
          <w:tcPr>
            <w:tcW w:w="1201"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c>
          <w:tcPr>
            <w:tcW w:w="340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c>
          <w:tcPr>
            <w:tcW w:w="255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r>
      <w:tr>
        <w:trPr>
          <w:jc w:val="center"/>
          <w:trHeight w:val="369"/>
        </w:trPr>
        <w:tc>
          <w:tcPr>
            <w:tcW w:w="1201"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c>
          <w:tcPr>
            <w:tcW w:w="340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c>
          <w:tcPr>
            <w:tcW w:w="255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r>
      <w:tr>
        <w:trPr>
          <w:jc w:val="center"/>
          <w:trHeight w:val="369"/>
        </w:trPr>
        <w:tc>
          <w:tcPr>
            <w:tcW w:w="1201"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c>
          <w:tcPr>
            <w:tcW w:w="340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c>
          <w:tcPr>
            <w:tcW w:w="255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r>
      <w:tr>
        <w:trPr>
          <w:jc w:val="center"/>
          <w:trHeight w:val="369"/>
        </w:trPr>
        <w:tc>
          <w:tcPr>
            <w:tcW w:w="1201"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c>
          <w:tcPr>
            <w:tcW w:w="340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c>
          <w:tcPr>
            <w:tcW w:w="255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r>
      <w:tr>
        <w:trPr>
          <w:jc w:val="center"/>
          <w:trHeight w:val="369"/>
        </w:trPr>
        <w:tc>
          <w:tcPr>
            <w:gridSpan w:val="2"/>
            <w:tcW w:w="4603"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rPr>
                <w:color w:val="auto"/>
                <w:highlight w:val="none"/>
              </w:rPr>
            </w:r>
          </w:p>
        </w:tc>
        <w:tc>
          <w:tcPr>
            <w:tcW w:w="2552" w:type="dxa"/>
            <w:vAlign w:val="center"/>
            <w:textDirection w:val="lrTb"/>
            <w:noWrap/>
          </w:tcPr>
          <w:p>
            <w:pPr>
              <w:pStyle w:val="1022"/>
              <w:ind w:firstLine="20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p>
        </w:tc>
      </w:tr>
    </w:tbl>
    <w:p>
      <w:pPr>
        <w:ind w:firstLine="480"/>
        <w:spacing w:line="560" w:lineRule="exact"/>
        <w:rPr>
          <w:rFonts w:hint="eastAsia" w:ascii="仿宋" w:hAnsi="仿宋" w:eastAsia="仿宋" w:cs="仿宋"/>
          <w:bCs/>
          <w:color w:val="auto"/>
          <w:sz w:val="24"/>
          <w:highlight w:val="none"/>
        </w:rPr>
      </w:pPr>
      <w:r>
        <w:rPr>
          <w:color w:val="auto"/>
          <w:highlight w:val="none"/>
        </w:rPr>
      </w:r>
      <w:bookmarkStart w:id="17" w:name="_Toc14993"/>
      <w:r>
        <w:rPr>
          <w:color w:val="auto"/>
          <w:highlight w:val="none"/>
        </w:rPr>
      </w:r>
      <w:bookmarkStart w:id="18" w:name="_Toc26916"/>
      <w:r>
        <w:rPr>
          <w:color w:val="auto"/>
          <w:highlight w:val="none"/>
        </w:rPr>
      </w:r>
      <w:bookmarkStart w:id="19" w:name="_Toc30506"/>
      <w:r>
        <w:rPr>
          <w:color w:val="auto"/>
          <w:highlight w:val="none"/>
        </w:rPr>
      </w:r>
      <w:bookmarkStart w:id="20" w:name="_Toc3654"/>
      <w:r>
        <w:rPr>
          <w:color w:val="auto"/>
          <w:highlight w:val="none"/>
        </w:rPr>
      </w:r>
      <w:bookmarkStart w:id="21" w:name="_Toc30158"/>
      <w:r>
        <w:rPr>
          <w:rFonts w:hint="eastAsia" w:ascii="仿宋" w:hAnsi="仿宋" w:eastAsia="仿宋" w:cs="仿宋"/>
          <w:bCs/>
          <w:color w:val="auto"/>
          <w:sz w:val="24"/>
          <w:highlight w:val="none"/>
        </w:rPr>
        <w:t xml:space="preserve">备注：最终以实际数量结算为准。</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r>
        <w:rPr>
          <w:color w:val="auto"/>
          <w:highlight w:val="none"/>
        </w:rPr>
      </w:r>
    </w:p>
    <w:p>
      <w:pPr>
        <w:ind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1.4 付款方式和发票开具方式</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1.4.1付款方</w:t>
      </w:r>
      <w:r>
        <w:rPr>
          <w:rFonts w:hint="eastAsia" w:ascii="仿宋" w:hAnsi="仿宋" w:eastAsia="仿宋" w:cs="仿宋"/>
          <w:color w:val="auto"/>
          <w:sz w:val="24"/>
          <w:highlight w:val="none"/>
        </w:rPr>
        <w:t xml:space="preserve">式：</w:t>
      </w:r>
      <w:r>
        <w:rPr>
          <w:rFonts w:hint="eastAsia" w:ascii="仿宋" w:hAnsi="仿宋" w:eastAsia="仿宋" w:cs="仿宋"/>
          <w:color w:val="auto"/>
          <w:sz w:val="24"/>
          <w:highlight w:val="none"/>
          <w:u w:val="single"/>
          <w:lang w:val="en-US" w:eastAsia="zh-CN"/>
        </w:rPr>
        <w:t xml:space="preserve">  供货安装完毕并验收合格后付款70%，余款运维（质保期一年）期满后一次性无息付清；（以合同签订为准）    </w:t>
      </w:r>
      <w:r>
        <w:rPr>
          <w:rFonts w:hint="eastAsia" w:ascii="仿宋" w:hAnsi="仿宋" w:eastAsia="仿宋" w:cs="仿宋"/>
          <w:color w:val="auto"/>
          <w:sz w:val="24"/>
          <w:highlight w:val="none"/>
        </w:rPr>
        <w:t xml:space="preserve"> ；</w:t>
      </w:r>
      <w:r>
        <w:rPr>
          <w:color w:val="auto"/>
          <w:highlight w:val="none"/>
        </w:rPr>
      </w:r>
    </w:p>
    <w:p>
      <w:pPr>
        <w:ind w:firstLine="480"/>
        <w:spacing w:line="560" w:lineRule="exact"/>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rPr>
          <w:color w:val="auto"/>
          <w:highlight w:val="none"/>
        </w:rPr>
      </w:r>
    </w:p>
    <w:p>
      <w:pPr>
        <w:ind w:firstLine="482"/>
        <w:spacing w:line="560" w:lineRule="exact"/>
        <w:rPr>
          <w:rFonts w:hint="eastAsia" w:ascii="仿宋" w:hAnsi="仿宋" w:eastAsia="仿宋" w:cs="仿宋"/>
          <w:b/>
          <w:color w:val="auto"/>
          <w:sz w:val="24"/>
          <w:highlight w:val="none"/>
        </w:rPr>
      </w:pPr>
      <w:r>
        <w:rPr>
          <w:color w:val="auto"/>
          <w:highlight w:val="none"/>
        </w:rPr>
      </w:r>
      <w:bookmarkStart w:id="22" w:name="_Toc3625"/>
      <w:r>
        <w:rPr>
          <w:color w:val="auto"/>
          <w:highlight w:val="none"/>
        </w:rPr>
      </w:r>
      <w:bookmarkEnd w:id="22"/>
      <w:r>
        <w:rPr>
          <w:color w:val="auto"/>
          <w:highlight w:val="none"/>
        </w:rPr>
      </w:r>
      <w:bookmarkStart w:id="23" w:name="_Toc4760"/>
      <w:r>
        <w:rPr>
          <w:color w:val="auto"/>
          <w:highlight w:val="none"/>
        </w:rPr>
      </w:r>
      <w:bookmarkEnd w:id="23"/>
      <w:r>
        <w:rPr>
          <w:color w:val="auto"/>
          <w:highlight w:val="none"/>
        </w:rPr>
      </w:r>
      <w:bookmarkStart w:id="24" w:name="_Toc8772"/>
      <w:r>
        <w:rPr>
          <w:color w:val="auto"/>
          <w:highlight w:val="none"/>
        </w:rPr>
      </w:r>
      <w:bookmarkEnd w:id="24"/>
      <w:r>
        <w:rPr>
          <w:color w:val="auto"/>
          <w:highlight w:val="none"/>
        </w:rPr>
      </w:r>
      <w:bookmarkStart w:id="25" w:name="_Toc11108"/>
      <w:r>
        <w:rPr>
          <w:color w:val="auto"/>
          <w:highlight w:val="none"/>
        </w:rPr>
      </w:r>
      <w:bookmarkEnd w:id="25"/>
      <w:r>
        <w:rPr>
          <w:color w:val="auto"/>
          <w:highlight w:val="none"/>
        </w:rPr>
      </w:r>
      <w:bookmarkStart w:id="26" w:name="_Toc31421"/>
      <w:r>
        <w:rPr>
          <w:color w:val="auto"/>
          <w:highlight w:val="none"/>
        </w:rPr>
      </w:r>
      <w:bookmarkEnd w:id="26"/>
      <w:r>
        <w:rPr>
          <w:rFonts w:hint="eastAsia" w:ascii="仿宋" w:hAnsi="仿宋" w:eastAsia="仿宋" w:cs="仿宋"/>
          <w:b/>
          <w:color w:val="auto"/>
          <w:sz w:val="24"/>
          <w:highlight w:val="none"/>
        </w:rPr>
        <w:t xml:space="preserve">1.5 履行期限、地点和方式</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 履行地点：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履行方式：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color w:val="auto"/>
          <w:highlight w:val="none"/>
        </w:rPr>
      </w:r>
    </w:p>
    <w:p>
      <w:pPr>
        <w:ind w:firstLine="482"/>
        <w:spacing w:line="560" w:lineRule="exact"/>
        <w:rPr>
          <w:rFonts w:hint="eastAsia" w:ascii="仿宋" w:hAnsi="仿宋" w:eastAsia="仿宋" w:cs="仿宋"/>
          <w:b/>
          <w:color w:val="auto"/>
          <w:sz w:val="24"/>
          <w:highlight w:val="none"/>
        </w:rPr>
      </w:pPr>
      <w:r>
        <w:rPr>
          <w:color w:val="auto"/>
          <w:highlight w:val="none"/>
        </w:rPr>
      </w:r>
      <w:bookmarkStart w:id="27" w:name="_Toc3079"/>
      <w:r>
        <w:rPr>
          <w:color w:val="auto"/>
          <w:highlight w:val="none"/>
        </w:rPr>
      </w:r>
      <w:bookmarkEnd w:id="27"/>
      <w:r>
        <w:rPr>
          <w:color w:val="auto"/>
          <w:highlight w:val="none"/>
        </w:rPr>
      </w:r>
      <w:bookmarkStart w:id="28" w:name="_Toc2375"/>
      <w:r>
        <w:rPr>
          <w:color w:val="auto"/>
          <w:highlight w:val="none"/>
        </w:rPr>
      </w:r>
      <w:bookmarkEnd w:id="28"/>
      <w:r>
        <w:rPr>
          <w:color w:val="auto"/>
          <w:highlight w:val="none"/>
        </w:rPr>
      </w:r>
      <w:bookmarkStart w:id="29" w:name="_Toc24662"/>
      <w:r>
        <w:rPr>
          <w:color w:val="auto"/>
          <w:highlight w:val="none"/>
        </w:rPr>
      </w:r>
      <w:bookmarkEnd w:id="29"/>
      <w:r>
        <w:rPr>
          <w:color w:val="auto"/>
          <w:highlight w:val="none"/>
        </w:rPr>
      </w:r>
      <w:bookmarkStart w:id="30" w:name="_Toc5698"/>
      <w:r>
        <w:rPr>
          <w:color w:val="auto"/>
          <w:highlight w:val="none"/>
        </w:rPr>
      </w:r>
      <w:bookmarkEnd w:id="30"/>
      <w:r>
        <w:rPr>
          <w:color w:val="auto"/>
          <w:highlight w:val="none"/>
        </w:rPr>
      </w:r>
      <w:bookmarkStart w:id="31" w:name="_Toc8586"/>
      <w:r>
        <w:rPr>
          <w:color w:val="auto"/>
          <w:highlight w:val="none"/>
        </w:rPr>
      </w:r>
      <w:bookmarkEnd w:id="31"/>
      <w:r>
        <w:rPr>
          <w:rFonts w:hint="eastAsia" w:ascii="仿宋" w:hAnsi="仿宋" w:eastAsia="仿宋" w:cs="仿宋"/>
          <w:b/>
          <w:color w:val="auto"/>
          <w:sz w:val="24"/>
          <w:highlight w:val="none"/>
        </w:rPr>
        <w:t xml:space="preserve">1.6 违约责任</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除不可抗力外，如果甲方没有按照本合同约定的付款方式付款，那么乙方可要求甲方支付违约金，违约金按每迟延付款一日的应付而未付款的%计算，最高限额</w:t>
      </w:r>
      <w:r>
        <w:rPr>
          <w:color w:val="auto"/>
          <w:highlight w:val="none"/>
        </w:rPr>
      </w:r>
    </w:p>
    <w:p>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%；迟延付款的违约金计算数额达到前述最高限额之日起，乙方有权在要求甲方支付违约金的同时，书面通知甲方解除本合同；</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auto"/>
          <w:highlight w:val="none"/>
        </w:rP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1.6.5 </w:t>
      </w:r>
      <w:r>
        <w:rPr>
          <w:rFonts w:hint="eastAsia" w:ascii="仿宋" w:hAnsi="仿宋" w:eastAsia="仿宋" w:cs="仿宋"/>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rPr>
          <w:color w:val="auto"/>
          <w:highlight w:val="none"/>
        </w:rPr>
      </w:r>
    </w:p>
    <w:p>
      <w:pPr>
        <w:ind w:firstLine="482"/>
        <w:spacing w:line="560" w:lineRule="exact"/>
        <w:rPr>
          <w:rFonts w:hint="eastAsia" w:ascii="仿宋" w:hAnsi="仿宋" w:eastAsia="仿宋" w:cs="仿宋"/>
          <w:b/>
          <w:color w:val="auto"/>
          <w:sz w:val="24"/>
          <w:highlight w:val="none"/>
        </w:rPr>
      </w:pPr>
      <w:r>
        <w:rPr>
          <w:color w:val="auto"/>
          <w:highlight w:val="none"/>
        </w:rPr>
      </w:r>
      <w:bookmarkStart w:id="32" w:name="_Toc26807"/>
      <w:r>
        <w:rPr>
          <w:color w:val="auto"/>
          <w:highlight w:val="none"/>
        </w:rPr>
      </w:r>
      <w:bookmarkEnd w:id="32"/>
      <w:r>
        <w:rPr>
          <w:color w:val="auto"/>
          <w:highlight w:val="none"/>
        </w:rPr>
      </w:r>
      <w:bookmarkStart w:id="33" w:name="_Toc18683"/>
      <w:r>
        <w:rPr>
          <w:color w:val="auto"/>
          <w:highlight w:val="none"/>
        </w:rPr>
      </w:r>
      <w:bookmarkEnd w:id="33"/>
      <w:r>
        <w:rPr>
          <w:color w:val="auto"/>
          <w:highlight w:val="none"/>
        </w:rPr>
      </w:r>
      <w:bookmarkStart w:id="34" w:name="_Toc30329"/>
      <w:r>
        <w:rPr>
          <w:color w:val="auto"/>
          <w:highlight w:val="none"/>
        </w:rPr>
      </w:r>
      <w:bookmarkEnd w:id="34"/>
      <w:r>
        <w:rPr>
          <w:color w:val="auto"/>
          <w:highlight w:val="none"/>
        </w:rPr>
      </w:r>
      <w:bookmarkStart w:id="35" w:name="_Toc9497"/>
      <w:r>
        <w:rPr>
          <w:color w:val="auto"/>
          <w:highlight w:val="none"/>
        </w:rPr>
      </w:r>
      <w:bookmarkEnd w:id="35"/>
      <w:r>
        <w:rPr>
          <w:color w:val="auto"/>
          <w:highlight w:val="none"/>
        </w:rPr>
      </w:r>
      <w:bookmarkStart w:id="36" w:name="_Toc32454"/>
      <w:r>
        <w:rPr>
          <w:color w:val="auto"/>
          <w:highlight w:val="none"/>
        </w:rPr>
      </w:r>
      <w:bookmarkEnd w:id="36"/>
      <w:r>
        <w:rPr>
          <w:rFonts w:hint="eastAsia" w:ascii="仿宋" w:hAnsi="仿宋" w:eastAsia="仿宋" w:cs="仿宋"/>
          <w:b/>
          <w:color w:val="auto"/>
          <w:sz w:val="24"/>
          <w:highlight w:val="none"/>
        </w:rPr>
        <w:t xml:space="preserve">1.7 合同争议的解决</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本合同履行过程中发生的任何争议，双方当事人均可通过和解或者调解解决；不愿和解、调解或者和解、调解不成的，</w:t>
      </w:r>
      <w:r>
        <w:rPr>
          <w:rFonts w:hint="eastAsia" w:ascii="仿宋" w:hAnsi="仿宋" w:eastAsia="仿宋" w:cs="仿宋"/>
          <w:color w:val="auto"/>
          <w:sz w:val="24"/>
          <w:highlight w:val="none"/>
        </w:rPr>
        <w:t xml:space="preserve">可以选择下列第一---一种方式解决：</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①将争议提交甲方所在地（徐州沛县）仲裁委员会依申请仲裁时其现行有效的仲裁规则裁决；</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②向甲方所在地（徐州沛县）人民法院起诉。</w:t>
      </w:r>
      <w:r>
        <w:rPr>
          <w:color w:val="auto"/>
          <w:highlight w:val="none"/>
        </w:rPr>
      </w:r>
    </w:p>
    <w:p>
      <w:pPr>
        <w:ind w:firstLine="482"/>
        <w:spacing w:line="560" w:lineRule="exact"/>
        <w:rPr>
          <w:rFonts w:hint="eastAsia" w:ascii="仿宋" w:hAnsi="仿宋" w:eastAsia="仿宋" w:cs="仿宋"/>
          <w:b/>
          <w:color w:val="auto"/>
          <w:sz w:val="24"/>
          <w:highlight w:val="none"/>
        </w:rPr>
      </w:pPr>
      <w:r>
        <w:rPr>
          <w:color w:val="auto"/>
          <w:highlight w:val="none"/>
        </w:rPr>
      </w:r>
      <w:bookmarkStart w:id="37" w:name="_Toc15827"/>
      <w:r>
        <w:rPr>
          <w:color w:val="auto"/>
          <w:highlight w:val="none"/>
        </w:rPr>
      </w:r>
      <w:bookmarkEnd w:id="37"/>
      <w:r>
        <w:rPr>
          <w:color w:val="auto"/>
          <w:highlight w:val="none"/>
        </w:rPr>
      </w:r>
      <w:bookmarkStart w:id="38" w:name="_Toc26227"/>
      <w:r>
        <w:rPr>
          <w:color w:val="auto"/>
          <w:highlight w:val="none"/>
        </w:rPr>
      </w:r>
      <w:bookmarkEnd w:id="38"/>
      <w:r>
        <w:rPr>
          <w:color w:val="auto"/>
          <w:highlight w:val="none"/>
        </w:rPr>
      </w:r>
      <w:bookmarkStart w:id="39" w:name="_Toc23784"/>
      <w:r>
        <w:rPr>
          <w:color w:val="auto"/>
          <w:highlight w:val="none"/>
        </w:rPr>
      </w:r>
      <w:bookmarkEnd w:id="39"/>
      <w:r>
        <w:rPr>
          <w:color w:val="auto"/>
          <w:highlight w:val="none"/>
        </w:rPr>
      </w:r>
      <w:bookmarkStart w:id="40" w:name="_Toc12273"/>
      <w:r>
        <w:rPr>
          <w:color w:val="auto"/>
          <w:highlight w:val="none"/>
        </w:rPr>
      </w:r>
      <w:bookmarkEnd w:id="40"/>
      <w:r>
        <w:rPr>
          <w:color w:val="auto"/>
          <w:highlight w:val="none"/>
        </w:rPr>
      </w:r>
      <w:bookmarkStart w:id="41" w:name="_Toc16417"/>
      <w:r>
        <w:rPr>
          <w:color w:val="auto"/>
          <w:highlight w:val="none"/>
        </w:rPr>
      </w:r>
      <w:bookmarkEnd w:id="41"/>
      <w:r>
        <w:rPr>
          <w:rFonts w:hint="eastAsia" w:ascii="仿宋" w:hAnsi="仿宋" w:eastAsia="仿宋" w:cs="仿宋"/>
          <w:b/>
          <w:color w:val="auto"/>
          <w:sz w:val="24"/>
          <w:highlight w:val="none"/>
        </w:rPr>
        <w:t xml:space="preserve">1.8 合同生效</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 本合同</w:t>
      </w:r>
      <w:r>
        <w:rPr>
          <w:rFonts w:hint="eastAsia" w:ascii="仿宋" w:hAnsi="仿宋" w:eastAsia="仿宋" w:cs="仿宋"/>
          <w:color w:val="auto"/>
          <w:sz w:val="24"/>
          <w:highlight w:val="none"/>
          <w:lang w:val="zh-CN"/>
        </w:rPr>
        <w:t xml:space="preserve">经甲乙双方代表签字并加盖公章（或合同章）后即生效。</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 本合同一式肆份，供需双方各持一份，报送财政监管部门备案、招标代理公司存档各一份。</w:t>
      </w:r>
      <w:r>
        <w:rPr>
          <w:color w:val="auto"/>
          <w:highlight w:val="none"/>
        </w:rP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r>
      <w:r>
        <w:rPr>
          <w:color w:val="auto"/>
          <w:highlight w:val="none"/>
        </w:rPr>
      </w:r>
    </w:p>
    <w:tbl>
      <w:tblPr>
        <w:tblStyle w:val="1004"/>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Height w:val="942"/>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rPr>
                <w:rFonts w:hint="eastAsia" w:ascii="仿宋" w:hAnsi="仿宋" w:eastAsia="仿宋" w:cs="仿宋"/>
                <w:color w:val="auto"/>
                <w:sz w:val="24"/>
                <w:highlight w:val="none"/>
              </w:rPr>
            </w:pPr>
            <w:r>
              <w:rPr>
                <w:color w:val="auto"/>
                <w:highlight w:val="none"/>
              </w:rPr>
            </w:r>
            <w:bookmarkStart w:id="42" w:name="OLE_LINK46"/>
            <w:r>
              <w:rPr>
                <w:color w:val="auto"/>
                <w:highlight w:val="none"/>
              </w:rPr>
            </w:r>
            <w:bookmarkEnd w:id="42"/>
            <w:r>
              <w:rPr>
                <w:color w:val="auto"/>
                <w:highlight w:val="none"/>
              </w:rPr>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甲方（采购人）：（盖章）</w:t>
            </w:r>
            <w:r>
              <w:rPr>
                <w:color w:val="auto"/>
                <w:highlight w:val="none"/>
              </w:rP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r>
            <w:r>
              <w:rPr>
                <w:color w:val="auto"/>
                <w:highlight w:val="none"/>
              </w:rPr>
            </w:r>
          </w:p>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乙方（投标人）：（盖章）</w:t>
            </w:r>
            <w:r>
              <w:rPr>
                <w:color w:val="auto"/>
                <w:highlight w:val="none"/>
              </w:rPr>
            </w:r>
          </w:p>
        </w:tc>
      </w:tr>
      <w:tr>
        <w:trPr>
          <w:jc w:val="center"/>
          <w:trHeight w:val="597"/>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代表人签字：</w:t>
            </w:r>
            <w:r>
              <w:rPr>
                <w:color w:val="auto"/>
                <w:highlight w:val="none"/>
              </w:rP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代表人签字</w:t>
            </w:r>
            <w:r>
              <w:rPr>
                <w:rFonts w:hint="eastAsia" w:ascii="仿宋" w:hAnsi="仿宋" w:eastAsia="仿宋" w:cs="仿宋"/>
                <w:color w:val="auto"/>
                <w:sz w:val="24"/>
                <w:highlight w:val="none"/>
              </w:rPr>
              <w:t xml:space="preserve">：</w:t>
            </w:r>
            <w:r>
              <w:rPr>
                <w:color w:val="auto"/>
                <w:highlight w:val="none"/>
              </w:rPr>
            </w:r>
          </w:p>
        </w:tc>
      </w:tr>
      <w:tr>
        <w:trPr>
          <w:jc w:val="center"/>
          <w:trHeight w:val="547"/>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电话：</w:t>
            </w:r>
            <w:r>
              <w:rPr>
                <w:color w:val="auto"/>
                <w:highlight w:val="none"/>
              </w:rPr>
            </w:r>
          </w:p>
        </w:tc>
      </w:tr>
      <w:tr>
        <w:trPr>
          <w:jc w:val="center"/>
          <w:trHeight w:val="614"/>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开户银行：</w:t>
            </w:r>
            <w:r>
              <w:rPr>
                <w:color w:val="auto"/>
                <w:highlight w:val="none"/>
              </w:rP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账号：</w:t>
            </w:r>
            <w:r>
              <w:rPr>
                <w:color w:val="auto"/>
                <w:highlight w:val="none"/>
              </w:rP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r>
            <w:r>
              <w:rPr>
                <w:color w:val="auto"/>
                <w:highlight w:val="none"/>
              </w:rPr>
            </w:r>
          </w:p>
        </w:tc>
      </w:tr>
      <w:tr>
        <w:trPr>
          <w:jc w:val="center"/>
          <w:trHeight w:val="614"/>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r>
            <w:r>
              <w:rPr>
                <w:color w:val="auto"/>
                <w:highlight w:val="none"/>
              </w:rP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日    期：     年    月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 xml:space="preserve"> 日</w:t>
            </w:r>
            <w:r>
              <w:rPr>
                <w:color w:val="auto"/>
                <w:highlight w:val="none"/>
              </w:rPr>
            </w:r>
          </w:p>
        </w:tc>
      </w:tr>
    </w:tbl>
    <w:p>
      <w:pPr>
        <w:pStyle w:val="1023"/>
        <w:rPr>
          <w:rFonts w:hint="eastAsia" w:ascii="仿宋" w:hAnsi="仿宋" w:eastAsia="仿宋" w:cs="仿宋"/>
          <w:color w:val="auto"/>
          <w:highlight w:val="none"/>
        </w:rPr>
        <w:sectPr>
          <w:footerReference w:type="default" r:id="rId14"/>
          <w:footnotePr>
            <w:numFmt w:val="decimalEnclosedCircle"/>
          </w:footnotePr>
          <w:endnotePr/>
          <w:type w:val="nextPage"/>
          <w:pgSz w:w="11906" w:h="16838" w:orient="portrait"/>
          <w:pgMar w:top="1418" w:right="1418" w:bottom="1418" w:left="1418" w:header="567" w:footer="567" w:gutter="0"/>
          <w:cols w:num="1" w:sep="0" w:space="1701" w:equalWidth="1"/>
          <w:docGrid w:linePitch="360"/>
        </w:sectPr>
      </w:pPr>
      <w:r>
        <w:rPr>
          <w:rFonts w:hint="eastAsia" w:ascii="仿宋" w:hAnsi="仿宋" w:eastAsia="仿宋" w:cs="仿宋"/>
          <w:color w:val="auto"/>
          <w:highlight w:val="none"/>
        </w:rPr>
      </w:r>
      <w:r>
        <w:rPr>
          <w:color w:val="auto"/>
          <w:highlight w:val="none"/>
        </w:rPr>
      </w:r>
    </w:p>
    <w:p>
      <w:pPr>
        <w:jc w:val="center"/>
        <w:spacing w:line="360" w:lineRule="auto"/>
        <w:rPr>
          <w:rFonts w:hint="eastAsia" w:ascii="宋体" w:hAnsi="宋体" w:cs="宋体"/>
          <w:b/>
          <w:color w:val="auto"/>
          <w:sz w:val="30"/>
          <w:szCs w:val="30"/>
          <w:highlight w:val="none"/>
        </w:rPr>
      </w:pPr>
      <w:r>
        <w:rPr>
          <w:color w:val="auto"/>
          <w:highlight w:val="none"/>
        </w:rPr>
      </w:r>
      <w:bookmarkStart w:id="43" w:name="_Toc155322445"/>
      <w:r>
        <w:rPr>
          <w:color w:val="auto"/>
          <w:highlight w:val="none"/>
        </w:rPr>
      </w:r>
      <w:bookmarkStart w:id="44" w:name="_Toc228002620"/>
      <w:r>
        <w:rPr>
          <w:color w:val="auto"/>
          <w:highlight w:val="none"/>
        </w:rPr>
      </w:r>
      <w:bookmarkStart w:id="45" w:name="_Toc6672"/>
      <w:r>
        <w:rPr>
          <w:color w:val="auto"/>
          <w:highlight w:val="none"/>
        </w:rPr>
      </w:r>
      <w:bookmarkStart w:id="46" w:name="_Toc243928880"/>
      <w:r>
        <w:rPr>
          <w:color w:val="auto"/>
          <w:highlight w:val="none"/>
        </w:rPr>
      </w:r>
      <w:bookmarkStart w:id="47" w:name="_Toc233618983"/>
      <w:r>
        <w:rPr>
          <w:color w:val="auto"/>
          <w:highlight w:val="none"/>
        </w:rPr>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r>
        <w:rPr>
          <w:color w:val="auto"/>
          <w:highlight w:val="none"/>
        </w:rPr>
      </w:r>
    </w:p>
    <w:p>
      <w:pPr>
        <w:jc w:val="center"/>
        <w:spacing w:line="360" w:lineRule="auto"/>
        <w:rPr>
          <w:rFonts w:hint="default"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第六章、</w:t>
      </w:r>
      <w:r>
        <w:rPr>
          <w:rFonts w:hint="eastAsia" w:ascii="宋体" w:hAnsi="宋体" w:eastAsia="宋体" w:cs="宋体"/>
          <w:b/>
          <w:color w:val="auto"/>
          <w:sz w:val="30"/>
          <w:szCs w:val="30"/>
          <w:highlight w:val="none"/>
        </w:rPr>
        <w:t xml:space="preserve">采购需求</w:t>
      </w:r>
      <w:r>
        <w:rPr>
          <w:color w:val="auto"/>
          <w:highlight w:val="none"/>
        </w:rPr>
      </w:r>
    </w:p>
    <w:p>
      <w:pPr>
        <w:jc w:val="both"/>
        <w:spacing w:line="360" w:lineRule="exact"/>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一、说明</w:t>
      </w:r>
      <w:r>
        <w:rPr>
          <w:color w:val="auto"/>
          <w:highlight w:val="none"/>
        </w:rPr>
      </w:r>
    </w:p>
    <w:p>
      <w:pPr>
        <w:ind w:firstLine="480"/>
        <w:jc w:val="both"/>
        <w:spacing w:line="360" w:lineRule="exact"/>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1.采购人：沛县城市管理局</w:t>
      </w:r>
      <w:r>
        <w:rPr>
          <w:color w:val="auto"/>
          <w:highlight w:val="none"/>
        </w:rPr>
      </w:r>
    </w:p>
    <w:p>
      <w:pPr>
        <w:ind w:firstLine="480"/>
        <w:jc w:val="both"/>
        <w:spacing w:line="360" w:lineRule="exact"/>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2.采购项目名称：</w:t>
      </w:r>
      <w:r>
        <w:rPr>
          <w:rFonts w:hint="eastAsia" w:ascii="宋体" w:hAnsi="宋体" w:eastAsia="宋体" w:cs="宋体"/>
          <w:color w:val="auto"/>
          <w:sz w:val="24"/>
          <w:szCs w:val="24"/>
          <w:highlight w:val="none"/>
          <w:lang w:val="en-US" w:eastAsia="zh-CN" w:bidi="ar-SA"/>
        </w:rPr>
        <w:t xml:space="preserve">智能化公厕采购项目</w:t>
      </w:r>
      <w:r>
        <w:rPr>
          <w:color w:val="auto"/>
          <w:highlight w:val="none"/>
        </w:rPr>
      </w:r>
    </w:p>
    <w:p>
      <w:pPr>
        <w:contextualSpacing/>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3.本项目采购项目预算金额</w:t>
      </w:r>
      <w:r>
        <w:rPr>
          <w:rFonts w:hint="eastAsia" w:ascii="宋体" w:hAnsi="宋体" w:eastAsia="宋体" w:cs="宋体"/>
          <w:b/>
          <w:bCs/>
          <w:color w:val="auto"/>
          <w:sz w:val="24"/>
          <w:highlight w:val="none"/>
        </w:rPr>
        <w:t xml:space="preserve">170.98万元人民币</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报价包括但不限于产品价、税金、劳务费、服务、供应商的利润等供应商所认为的与本项目相关的全部费用。采购人不再支付报价以外的任何费用。</w:t>
      </w:r>
      <w:r>
        <w:rPr>
          <w:color w:val="auto"/>
          <w:highlight w:val="none"/>
        </w:rPr>
      </w:r>
    </w:p>
    <w:p>
      <w:pP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w:t>
      </w:r>
      <w:r>
        <w:rPr>
          <w:rFonts w:hint="eastAsia" w:ascii="宋体" w:hAnsi="宋体" w:eastAsia="Arial" w:cs="宋体"/>
          <w:b/>
          <w:bCs/>
          <w:color w:val="auto"/>
          <w:sz w:val="24"/>
          <w:highlight w:val="none"/>
        </w:rPr>
        <w:t xml:space="preserve">需求</w:t>
      </w:r>
      <w:r>
        <w:rPr>
          <w:rFonts w:hint="eastAsia" w:ascii="宋体" w:hAnsi="宋体" w:eastAsia="宋体" w:cs="宋体"/>
          <w:b/>
          <w:bCs/>
          <w:color w:val="auto"/>
          <w:sz w:val="24"/>
          <w:highlight w:val="none"/>
        </w:rPr>
        <w:t xml:space="preserve">：</w:t>
      </w:r>
      <w:r>
        <w:rPr>
          <w:color w:val="auto"/>
          <w:highlight w:val="none"/>
        </w:rPr>
      </w:r>
    </w:p>
    <w:p>
      <w:pPr>
        <w:ind w:firstLine="480"/>
        <w:spacing w:line="3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沛县城市管理局</w:t>
      </w:r>
      <w:r>
        <w:rPr>
          <w:rFonts w:hint="eastAsia" w:ascii="宋体" w:hAnsi="宋体" w:eastAsia="Arial" w:cs="宋体"/>
          <w:color w:val="auto"/>
          <w:sz w:val="24"/>
          <w:highlight w:val="none"/>
        </w:rPr>
        <w:t xml:space="preserve">智能化公厕</w:t>
      </w:r>
      <w:r>
        <w:rPr>
          <w:rFonts w:hint="eastAsia" w:ascii="宋体" w:hAnsi="宋体" w:eastAsia="宋体" w:cs="宋体"/>
          <w:color w:val="auto"/>
          <w:sz w:val="24"/>
          <w:highlight w:val="none"/>
        </w:rPr>
        <w:t xml:space="preserve">采购项目</w:t>
      </w:r>
      <w:r>
        <w:rPr>
          <w:rFonts w:hint="eastAsia" w:ascii="宋体" w:hAnsi="宋体" w:eastAsia="宋体" w:cs="宋体"/>
          <w:bCs/>
          <w:color w:val="auto"/>
          <w:sz w:val="24"/>
          <w:highlight w:val="none"/>
        </w:rPr>
        <w:t xml:space="preserve">，拟采购装配式公厕2台，建筑面积约103m</w:t>
      </w:r>
      <w:r>
        <w:rPr>
          <w:rFonts w:hint="eastAsia" w:ascii="宋体" w:hAnsi="宋体" w:eastAsia="宋体" w:cs="宋体"/>
          <w:bCs/>
          <w:color w:val="auto"/>
          <w:sz w:val="24"/>
          <w:highlight w:val="none"/>
          <w:vertAlign w:val="superscript"/>
        </w:rPr>
        <w:t xml:space="preserve">2</w:t>
      </w:r>
      <w:r>
        <w:rPr>
          <w:rFonts w:hint="eastAsia" w:ascii="宋体" w:hAnsi="宋体" w:eastAsia="宋体" w:cs="宋体"/>
          <w:bCs/>
          <w:color w:val="auto"/>
          <w:sz w:val="24"/>
          <w:highlight w:val="none"/>
        </w:rPr>
        <w:t xml:space="preserve">/台。</w:t>
      </w:r>
      <w:r>
        <w:rPr>
          <w:color w:val="auto"/>
          <w:highlight w:val="none"/>
        </w:rPr>
      </w:r>
    </w:p>
    <w:p>
      <w:pPr>
        <w:ind w:firstLine="480"/>
        <w:spacing w:line="360" w:lineRule="exact"/>
        <w:rPr>
          <w:rFonts w:hint="default" w:ascii="宋体" w:hAnsi="宋体" w:eastAsia="宋体" w:cs="宋体"/>
          <w:bCs/>
          <w:color w:val="auto"/>
          <w:sz w:val="24"/>
          <w:highlight w:val="none"/>
        </w:rPr>
      </w:pPr>
      <w:r>
        <w:rPr>
          <w:color w:val="auto"/>
          <w:highlight w:val="none"/>
        </w:rPr>
      </w:r>
      <w:bookmarkStart w:id="48" w:name="_Toc15649"/>
      <w:r>
        <w:rPr>
          <w:rFonts w:hint="eastAsia" w:ascii="宋体" w:hAnsi="宋体" w:eastAsia="宋体" w:cs="宋体"/>
          <w:bCs/>
          <w:color w:val="auto"/>
          <w:sz w:val="24"/>
          <w:highlight w:val="none"/>
          <w:lang w:bidi="zh-CN"/>
        </w:rPr>
        <w:t xml:space="preserve">请投标人</w:t>
      </w:r>
      <w:r>
        <w:rPr>
          <w:rFonts w:hint="eastAsia" w:ascii="宋体" w:hAnsi="宋体" w:eastAsia="宋体" w:cs="宋体"/>
          <w:bCs/>
          <w:color w:val="auto"/>
          <w:sz w:val="24"/>
          <w:highlight w:val="none"/>
        </w:rPr>
        <w:t xml:space="preserve">自行考虑是否需要实地勘察，如有需要</w:t>
      </w:r>
      <w:r>
        <w:rPr>
          <w:rFonts w:hint="eastAsia" w:ascii="宋体" w:hAnsi="宋体" w:eastAsia="宋体" w:cs="宋体"/>
          <w:bCs/>
          <w:color w:val="auto"/>
          <w:sz w:val="24"/>
          <w:highlight w:val="none"/>
          <w:lang w:bidi="zh-CN"/>
        </w:rPr>
        <w:t xml:space="preserve">自行联系采购单位</w:t>
      </w:r>
      <w:r>
        <w:rPr>
          <w:rFonts w:hint="default" w:ascii="宋体" w:hAnsi="宋体" w:eastAsia="宋体" w:cs="宋体"/>
          <w:bCs/>
          <w:color w:val="auto"/>
          <w:sz w:val="24"/>
          <w:highlight w:val="none"/>
          <w:lang w:bidi="zh-CN"/>
        </w:rPr>
        <w:t xml:space="preserve">，</w:t>
      </w:r>
      <w:r>
        <w:rPr>
          <w:rFonts w:hint="eastAsia" w:ascii="宋体" w:hAnsi="宋体" w:eastAsia="宋体" w:cs="宋体"/>
          <w:bCs/>
          <w:color w:val="auto"/>
          <w:sz w:val="24"/>
          <w:highlight w:val="none"/>
        </w:rPr>
        <w:t xml:space="preserve">并携带</w:t>
      </w:r>
      <w:r>
        <w:rPr>
          <w:rFonts w:hint="default" w:ascii="宋体" w:hAnsi="宋体" w:eastAsia="宋体" w:cs="宋体"/>
          <w:bCs/>
          <w:color w:val="auto"/>
          <w:sz w:val="24"/>
          <w:highlight w:val="none"/>
          <w:lang w:bidi="zh-CN"/>
        </w:rPr>
        <w:t xml:space="preserve">《</w:t>
      </w:r>
      <w:r>
        <w:rPr>
          <w:rFonts w:hint="eastAsia" w:ascii="宋体" w:hAnsi="宋体" w:eastAsia="宋体" w:cs="宋体"/>
          <w:bCs/>
          <w:color w:val="auto"/>
          <w:sz w:val="24"/>
          <w:highlight w:val="none"/>
        </w:rPr>
        <w:t xml:space="preserve">投标意向勘查介绍信</w:t>
      </w:r>
      <w:r>
        <w:rPr>
          <w:rFonts w:hint="default" w:ascii="宋体" w:hAnsi="宋体" w:eastAsia="宋体" w:cs="宋体"/>
          <w:bCs/>
          <w:color w:val="auto"/>
          <w:sz w:val="24"/>
          <w:highlight w:val="none"/>
          <w:lang w:bidi="zh-CN"/>
        </w:rPr>
        <w:t xml:space="preserve">》（</w:t>
      </w:r>
      <w:r>
        <w:rPr>
          <w:rFonts w:hint="eastAsia" w:ascii="宋体" w:hAnsi="宋体" w:eastAsia="宋体" w:cs="宋体"/>
          <w:bCs/>
          <w:color w:val="auto"/>
          <w:sz w:val="24"/>
          <w:highlight w:val="none"/>
        </w:rPr>
        <w:t xml:space="preserve">格式自理</w:t>
      </w:r>
      <w:r>
        <w:rPr>
          <w:rFonts w:hint="default" w:ascii="宋体" w:hAnsi="宋体" w:eastAsia="宋体" w:cs="宋体"/>
          <w:bCs/>
          <w:color w:val="auto"/>
          <w:sz w:val="24"/>
          <w:highlight w:val="none"/>
          <w:lang w:bidi="zh-CN"/>
        </w:rPr>
        <w:t xml:space="preserve">）</w:t>
      </w:r>
      <w:r>
        <w:rPr>
          <w:rFonts w:hint="eastAsia" w:ascii="宋体" w:hAnsi="宋体" w:eastAsia="宋体" w:cs="宋体"/>
          <w:bCs/>
          <w:color w:val="auto"/>
          <w:sz w:val="24"/>
          <w:highlight w:val="none"/>
          <w:lang w:bidi="zh-CN"/>
        </w:rPr>
        <w:t xml:space="preserve">勘查现场充分评估现场条件</w:t>
      </w:r>
      <w:r>
        <w:rPr>
          <w:rFonts w:hint="default" w:ascii="宋体" w:hAnsi="宋体" w:eastAsia="宋体" w:cs="宋体"/>
          <w:bCs/>
          <w:color w:val="auto"/>
          <w:sz w:val="24"/>
          <w:highlight w:val="none"/>
          <w:lang w:bidi="zh-CN"/>
        </w:rPr>
        <w:t xml:space="preserve">,</w:t>
      </w:r>
      <w:r>
        <w:rPr>
          <w:rFonts w:hint="eastAsia" w:ascii="宋体" w:hAnsi="宋体" w:eastAsia="宋体" w:cs="宋体"/>
          <w:bCs/>
          <w:color w:val="auto"/>
          <w:sz w:val="24"/>
          <w:highlight w:val="none"/>
        </w:rPr>
        <w:t xml:space="preserve">现场勘察</w:t>
      </w:r>
      <w:r>
        <w:rPr>
          <w:rFonts w:hint="eastAsia" w:ascii="宋体" w:hAnsi="宋体" w:eastAsia="宋体" w:cs="宋体"/>
          <w:bCs/>
          <w:color w:val="auto"/>
          <w:sz w:val="24"/>
          <w:highlight w:val="none"/>
          <w:lang w:bidi="zh-CN"/>
        </w:rPr>
        <w:t xml:space="preserve">联系人：蔡坤，电话：15262116689。</w:t>
      </w:r>
      <w:r>
        <w:rPr>
          <w:color w:val="auto"/>
          <w:highlight w:val="none"/>
        </w:rPr>
      </w:r>
    </w:p>
    <w:p>
      <w:pP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三、项目</w:t>
      </w:r>
      <w:r>
        <w:rPr>
          <w:rFonts w:hint="eastAsia" w:ascii="宋体" w:hAnsi="宋体" w:eastAsia="Arial" w:cs="宋体"/>
          <w:b/>
          <w:bCs/>
          <w:color w:val="auto"/>
          <w:sz w:val="24"/>
          <w:highlight w:val="none"/>
        </w:rPr>
        <w:t xml:space="preserve">采购清单及技术</w:t>
      </w:r>
      <w:r>
        <w:rPr>
          <w:rFonts w:hint="eastAsia" w:ascii="宋体" w:hAnsi="宋体" w:eastAsia="宋体" w:cs="宋体"/>
          <w:b/>
          <w:bCs/>
          <w:color w:val="auto"/>
          <w:sz w:val="24"/>
          <w:highlight w:val="none"/>
        </w:rPr>
        <w:t xml:space="preserve">要求：</w:t>
      </w:r>
      <w:bookmarkEnd w:id="48"/>
      <w:r>
        <w:rPr>
          <w:color w:val="auto"/>
          <w:highlight w:val="none"/>
        </w:rPr>
      </w:r>
      <w:r>
        <w:rPr>
          <w:color w:val="auto"/>
          <w:highlight w:val="none"/>
        </w:rPr>
      </w:r>
    </w:p>
    <w:p>
      <w:pPr>
        <w:jc w:val="center"/>
        <w:spacing w:line="276" w:lineRule="auto"/>
        <w:rPr>
          <w:rFonts w:hint="default" w:ascii="宋体" w:hAnsi="宋体" w:eastAsia="宋体" w:cs="仿宋"/>
          <w:b/>
          <w:color w:val="auto"/>
          <w:sz w:val="32"/>
          <w:szCs w:val="32"/>
          <w:highlight w:val="none"/>
        </w:rPr>
      </w:pPr>
      <w:r>
        <w:rPr>
          <w:color w:val="auto"/>
          <w:highlight w:val="none"/>
        </w:rPr>
      </w:r>
      <w:bookmarkStart w:id="49" w:name="_Toc32341"/>
      <w:r>
        <w:rPr>
          <w:color w:val="auto"/>
          <w:highlight w:val="none"/>
        </w:rPr>
      </w:r>
      <w:bookmarkStart w:id="50" w:name="_Toc18484"/>
      <w:r>
        <w:rPr>
          <w:rFonts w:hint="eastAsia" w:ascii="宋体" w:hAnsi="宋体" w:eastAsia="宋体" w:cs="仿宋"/>
          <w:b/>
          <w:color w:val="auto"/>
          <w:sz w:val="32"/>
          <w:szCs w:val="32"/>
          <w:highlight w:val="none"/>
        </w:rPr>
        <w:t xml:space="preserve">货物技术参数及要求</w:t>
      </w:r>
      <w:r>
        <w:rPr>
          <w:color w:val="auto"/>
          <w:highlight w:val="none"/>
        </w:rPr>
      </w:r>
    </w:p>
    <w:p>
      <w:pPr>
        <w:jc w:val="left"/>
        <w:spacing w:line="276" w:lineRule="auto"/>
        <w:rPr>
          <w:rFonts w:hint="eastAsia" w:ascii="宋体" w:hAnsi="宋体" w:eastAsia="宋体" w:cs="仿宋"/>
          <w:bCs/>
          <w:color w:val="auto"/>
          <w:sz w:val="24"/>
          <w:highlight w:val="none"/>
        </w:rPr>
      </w:pPr>
      <w:r>
        <w:rPr>
          <w:rFonts w:hint="eastAsia" w:ascii="宋体" w:hAnsi="宋体" w:cs="仿宋"/>
          <w:bCs/>
          <w:color w:val="auto"/>
          <w:sz w:val="24"/>
          <w:highlight w:val="none"/>
          <w:lang w:val="en-US" w:eastAsia="zh-CN"/>
        </w:rPr>
        <w:t xml:space="preserve">1</w:t>
      </w:r>
      <w:r>
        <w:rPr>
          <w:rFonts w:hint="eastAsia" w:ascii="宋体" w:hAnsi="宋体" w:eastAsia="宋体" w:cs="仿宋"/>
          <w:bCs/>
          <w:color w:val="auto"/>
          <w:sz w:val="24"/>
          <w:highlight w:val="none"/>
        </w:rPr>
        <w:t xml:space="preserve">、建设内容（名称、类型、面积、标准）</w:t>
      </w:r>
      <w:r>
        <w:rPr>
          <w:color w:val="auto"/>
          <w:highlight w:val="none"/>
        </w:rPr>
      </w:r>
    </w:p>
    <w:tbl>
      <w:tblPr>
        <w:tblStyle w:val="1004"/>
        <w:tblpPr w:horzAnchor="page" w:tblpX="1942" w:vertAnchor="text" w:tblpY="17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1275"/>
        <w:gridCol w:w="1276"/>
        <w:gridCol w:w="1276"/>
        <w:gridCol w:w="2458"/>
      </w:tblGrid>
      <w:tr>
        <w:trPr>
          <w:trHeight w:val="512"/>
        </w:trPr>
        <w:tc>
          <w:tcPr>
            <w:tcW w:w="817" w:type="dxa"/>
            <w:vAlign w:val="center"/>
            <w:textDirection w:val="lrTb"/>
            <w:noWrap w:val="false"/>
          </w:tcPr>
          <w:p>
            <w:pPr>
              <w:pStyle w:val="1006"/>
              <w:ind w:firstLine="0"/>
              <w:jc w:val="center"/>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序号</w:t>
            </w:r>
            <w:r>
              <w:rPr>
                <w:color w:val="auto"/>
                <w:highlight w:val="none"/>
              </w:rPr>
            </w:r>
          </w:p>
        </w:tc>
        <w:tc>
          <w:tcPr>
            <w:tcW w:w="1418" w:type="dxa"/>
            <w:vAlign w:val="center"/>
            <w:textDirection w:val="lrTb"/>
            <w:noWrap w:val="false"/>
          </w:tcPr>
          <w:p>
            <w:pPr>
              <w:pStyle w:val="1006"/>
              <w:ind w:firstLine="0"/>
              <w:jc w:val="center"/>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公厕名称</w:t>
            </w:r>
            <w:r>
              <w:rPr>
                <w:color w:val="auto"/>
                <w:highlight w:val="none"/>
              </w:rPr>
            </w:r>
          </w:p>
        </w:tc>
        <w:tc>
          <w:tcPr>
            <w:tcW w:w="1275" w:type="dxa"/>
            <w:vAlign w:val="center"/>
            <w:textDirection w:val="lrTb"/>
            <w:noWrap w:val="false"/>
          </w:tcPr>
          <w:p>
            <w:pPr>
              <w:pStyle w:val="1006"/>
              <w:ind w:firstLine="0"/>
              <w:jc w:val="center"/>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建设类型</w:t>
            </w:r>
            <w:r>
              <w:rPr>
                <w:color w:val="auto"/>
                <w:highlight w:val="none"/>
              </w:rPr>
            </w:r>
          </w:p>
        </w:tc>
        <w:tc>
          <w:tcPr>
            <w:tcW w:w="1276" w:type="dxa"/>
            <w:vAlign w:val="center"/>
            <w:textDirection w:val="lrTb"/>
            <w:noWrap w:val="false"/>
          </w:tcPr>
          <w:p>
            <w:pPr>
              <w:pStyle w:val="1006"/>
              <w:ind w:firstLine="0"/>
              <w:jc w:val="center"/>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面积（㎡）</w:t>
            </w:r>
            <w:r>
              <w:rPr>
                <w:color w:val="auto"/>
                <w:highlight w:val="none"/>
              </w:rPr>
            </w:r>
          </w:p>
        </w:tc>
        <w:tc>
          <w:tcPr>
            <w:tcW w:w="1276" w:type="dxa"/>
            <w:vAlign w:val="center"/>
            <w:textDirection w:val="lrTb"/>
            <w:noWrap w:val="false"/>
          </w:tcPr>
          <w:p>
            <w:pPr>
              <w:pStyle w:val="1006"/>
              <w:ind w:firstLine="0"/>
              <w:jc w:val="center"/>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建设标准</w:t>
            </w:r>
            <w:r>
              <w:rPr>
                <w:color w:val="auto"/>
                <w:highlight w:val="none"/>
              </w:rPr>
            </w:r>
          </w:p>
        </w:tc>
        <w:tc>
          <w:tcPr>
            <w:tcW w:w="2458" w:type="dxa"/>
            <w:vAlign w:val="center"/>
            <w:textDirection w:val="lrTb"/>
            <w:noWrap w:val="false"/>
          </w:tcPr>
          <w:p>
            <w:pPr>
              <w:pStyle w:val="1006"/>
              <w:ind w:firstLine="0"/>
              <w:jc w:val="center"/>
              <w:spacing w:line="360" w:lineRule="auto"/>
              <w:rPr>
                <w:rFonts w:hint="default" w:ascii="宋体" w:hAnsi="宋体" w:cs="仿宋"/>
                <w:b/>
                <w:color w:val="auto"/>
                <w:sz w:val="24"/>
                <w:szCs w:val="24"/>
                <w:highlight w:val="none"/>
              </w:rPr>
            </w:pPr>
            <w:r>
              <w:rPr>
                <w:rFonts w:hint="eastAsia" w:ascii="宋体" w:hAnsi="宋体" w:cs="仿宋"/>
                <w:b/>
                <w:color w:val="auto"/>
                <w:sz w:val="24"/>
                <w:szCs w:val="24"/>
                <w:highlight w:val="none"/>
              </w:rPr>
              <w:t xml:space="preserve">具体位置</w:t>
            </w:r>
            <w:r>
              <w:rPr>
                <w:color w:val="auto"/>
                <w:highlight w:val="none"/>
              </w:rPr>
            </w:r>
          </w:p>
        </w:tc>
      </w:tr>
      <w:tr>
        <w:trPr>
          <w:trHeight w:val="512"/>
        </w:trPr>
        <w:tc>
          <w:tcPr>
            <w:tcW w:w="817" w:type="dxa"/>
            <w:vAlign w:val="center"/>
            <w:textDirection w:val="lrTb"/>
            <w:noWrap w:val="false"/>
          </w:tcPr>
          <w:p>
            <w:pPr>
              <w:pStyle w:val="1006"/>
              <w:ind w:firstLine="0"/>
              <w:jc w:val="cente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color w:val="auto"/>
                <w:highlight w:val="none"/>
              </w:rPr>
            </w:r>
          </w:p>
        </w:tc>
        <w:tc>
          <w:tcPr>
            <w:tcW w:w="1418" w:type="dxa"/>
            <w:vAlign w:val="center"/>
            <w:textDirection w:val="lrTb"/>
            <w:noWrap w:val="false"/>
          </w:tcPr>
          <w:p>
            <w:pPr>
              <w:jc w:val="center"/>
              <w:spacing w:line="360" w:lineRule="auto"/>
              <w:widowControl/>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汉城路停车场公厕</w:t>
            </w:r>
            <w:r>
              <w:rPr>
                <w:color w:val="auto"/>
                <w:highlight w:val="none"/>
              </w:rPr>
            </w:r>
          </w:p>
        </w:tc>
        <w:tc>
          <w:tcPr>
            <w:tcW w:w="1275" w:type="dxa"/>
            <w:vAlign w:val="center"/>
            <w:textDirection w:val="lrTb"/>
            <w:noWrap w:val="false"/>
          </w:tcPr>
          <w:p>
            <w:pPr>
              <w:pStyle w:val="1006"/>
              <w:ind w:firstLine="0"/>
              <w:jc w:val="center"/>
              <w:spacing w:line="360" w:lineRule="auto"/>
              <w:rPr>
                <w:rFonts w:hint="default" w:ascii="宋体" w:hAnsi="宋体" w:cs="仿宋"/>
                <w:color w:val="auto"/>
                <w:sz w:val="24"/>
                <w:szCs w:val="24"/>
                <w:highlight w:val="none"/>
              </w:rPr>
            </w:pPr>
            <w:r>
              <w:rPr>
                <w:rFonts w:hint="default" w:ascii="宋体" w:hAnsi="宋体" w:cs="仿宋"/>
                <w:color w:val="auto"/>
                <w:sz w:val="24"/>
                <w:szCs w:val="24"/>
                <w:highlight w:val="none"/>
              </w:rPr>
              <w:t xml:space="preserve">装配式</w:t>
            </w:r>
            <w:r>
              <w:rPr>
                <w:color w:val="auto"/>
                <w:highlight w:val="none"/>
              </w:rPr>
            </w:r>
          </w:p>
        </w:tc>
        <w:tc>
          <w:tcPr>
            <w:tcW w:w="1276" w:type="dxa"/>
            <w:vAlign w:val="center"/>
            <w:textDirection w:val="lrTb"/>
            <w:noWrap w:val="false"/>
          </w:tcPr>
          <w:p>
            <w:pPr>
              <w:jc w:val="center"/>
              <w:spacing w:line="360" w:lineRule="auto"/>
              <w:widowControl/>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103</w:t>
            </w:r>
            <w:r>
              <w:rPr>
                <w:color w:val="auto"/>
                <w:highlight w:val="none"/>
              </w:rPr>
            </w:r>
          </w:p>
        </w:tc>
        <w:tc>
          <w:tcPr>
            <w:tcW w:w="1276" w:type="dxa"/>
            <w:vAlign w:val="center"/>
            <w:textDirection w:val="lrTb"/>
            <w:noWrap w:val="false"/>
          </w:tcPr>
          <w:p>
            <w:pPr>
              <w:pStyle w:val="1006"/>
              <w:ind w:firstLine="0"/>
              <w:jc w:val="center"/>
              <w:spacing w:line="360" w:lineRule="auto"/>
              <w:rPr>
                <w:rFonts w:hint="default" w:ascii="宋体" w:hAnsi="宋体" w:cs="仿宋"/>
                <w:color w:val="auto"/>
                <w:sz w:val="24"/>
                <w:szCs w:val="24"/>
                <w:highlight w:val="none"/>
              </w:rPr>
            </w:pPr>
            <w:r>
              <w:rPr>
                <w:rFonts w:hint="eastAsia" w:ascii="宋体" w:hAnsi="宋体" w:cs="仿宋"/>
                <w:color w:val="auto"/>
                <w:sz w:val="24"/>
                <w:highlight w:val="none"/>
              </w:rPr>
              <w:t xml:space="preserve">二类以上标准（含二类）</w:t>
            </w:r>
            <w:r>
              <w:rPr>
                <w:color w:val="auto"/>
                <w:highlight w:val="none"/>
              </w:rPr>
            </w:r>
          </w:p>
        </w:tc>
        <w:tc>
          <w:tcPr>
            <w:tcW w:w="2458" w:type="dxa"/>
            <w:vAlign w:val="center"/>
            <w:textDirection w:val="lrTb"/>
            <w:noWrap w:val="false"/>
          </w:tcPr>
          <w:p>
            <w:pPr>
              <w:spacing w:line="360" w:lineRule="auto"/>
              <w:widowControl/>
              <w:rPr>
                <w:rFonts w:hint="default" w:ascii="宋体" w:hAnsi="宋体" w:eastAsia="宋体" w:cs="仿宋"/>
                <w:color w:val="auto"/>
                <w:sz w:val="24"/>
                <w:highlight w:val="none"/>
              </w:rPr>
            </w:pPr>
            <w:r>
              <w:rPr>
                <w:rFonts w:hint="default" w:ascii="宋体" w:hAnsi="宋体" w:eastAsia="宋体" w:cs="仿宋"/>
                <w:color w:val="auto"/>
                <w:sz w:val="24"/>
                <w:highlight w:val="none"/>
              </w:rPr>
              <w:t xml:space="preserve">汉城路东侧、陈平路北侧</w:t>
            </w:r>
            <w:r>
              <w:rPr>
                <w:color w:val="auto"/>
                <w:highlight w:val="none"/>
              </w:rPr>
            </w:r>
          </w:p>
        </w:tc>
      </w:tr>
      <w:tr>
        <w:trPr>
          <w:trHeight w:val="497"/>
        </w:trPr>
        <w:tc>
          <w:tcPr>
            <w:tcW w:w="817" w:type="dxa"/>
            <w:vAlign w:val="center"/>
            <w:textDirection w:val="lrTb"/>
            <w:noWrap w:val="false"/>
          </w:tcPr>
          <w:p>
            <w:pPr>
              <w:pStyle w:val="1006"/>
              <w:ind w:firstLine="0"/>
              <w:jc w:val="cente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color w:val="auto"/>
                <w:highlight w:val="none"/>
              </w:rPr>
            </w:r>
          </w:p>
        </w:tc>
        <w:tc>
          <w:tcPr>
            <w:tcW w:w="1418" w:type="dxa"/>
            <w:vAlign w:val="center"/>
            <w:textDirection w:val="lrTb"/>
            <w:noWrap w:val="false"/>
          </w:tcPr>
          <w:p>
            <w:pPr>
              <w:jc w:val="center"/>
              <w:spacing w:line="360" w:lineRule="auto"/>
              <w:widowControl/>
              <w:rPr>
                <w:rFonts w:hint="eastAsia" w:ascii="宋体" w:hAnsi="宋体" w:eastAsia="宋体" w:cs="仿宋"/>
                <w:color w:val="auto"/>
                <w:sz w:val="24"/>
                <w:highlight w:val="none"/>
              </w:rPr>
            </w:pPr>
            <w:r>
              <w:rPr>
                <w:rFonts w:hint="eastAsia" w:ascii="宋体" w:hAnsi="宋体" w:eastAsia="宋体" w:cs="仿宋"/>
                <w:color w:val="auto"/>
                <w:sz w:val="24"/>
                <w:highlight w:val="none"/>
                <w:lang w:bidi="ar"/>
              </w:rPr>
              <w:t xml:space="preserve">樊巷街停车场公厕</w:t>
            </w:r>
            <w:r>
              <w:rPr>
                <w:color w:val="auto"/>
                <w:highlight w:val="none"/>
              </w:rPr>
            </w:r>
          </w:p>
        </w:tc>
        <w:tc>
          <w:tcPr>
            <w:tcW w:w="1275" w:type="dxa"/>
            <w:vAlign w:val="center"/>
            <w:textDirection w:val="lrTb"/>
            <w:noWrap w:val="false"/>
          </w:tcPr>
          <w:p>
            <w:pPr>
              <w:jc w:val="center"/>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装配式</w:t>
            </w:r>
            <w:r>
              <w:rPr>
                <w:color w:val="auto"/>
                <w:highlight w:val="none"/>
              </w:rPr>
            </w:r>
          </w:p>
        </w:tc>
        <w:tc>
          <w:tcPr>
            <w:tcW w:w="1276" w:type="dxa"/>
            <w:vAlign w:val="center"/>
            <w:textDirection w:val="lrTb"/>
            <w:noWrap w:val="false"/>
          </w:tcPr>
          <w:p>
            <w:pPr>
              <w:jc w:val="center"/>
              <w:spacing w:line="360" w:lineRule="auto"/>
              <w:widowControl/>
              <w:rPr>
                <w:rFonts w:hint="default" w:ascii="宋体" w:hAnsi="宋体" w:eastAsia="宋体" w:cs="仿宋"/>
                <w:color w:val="auto"/>
                <w:sz w:val="24"/>
                <w:highlight w:val="none"/>
              </w:rPr>
            </w:pPr>
            <w:r>
              <w:rPr>
                <w:rFonts w:hint="eastAsia" w:ascii="宋体" w:hAnsi="宋体" w:eastAsia="宋体" w:cs="仿宋"/>
                <w:color w:val="auto"/>
                <w:sz w:val="24"/>
                <w:highlight w:val="none"/>
                <w:lang w:bidi="ar"/>
              </w:rPr>
              <w:t xml:space="preserve">103</w:t>
            </w:r>
            <w:r>
              <w:rPr>
                <w:color w:val="auto"/>
                <w:highlight w:val="none"/>
              </w:rPr>
            </w:r>
          </w:p>
        </w:tc>
        <w:tc>
          <w:tcPr>
            <w:tcW w:w="1276" w:type="dxa"/>
            <w:vAlign w:val="center"/>
            <w:textDirection w:val="lrTb"/>
            <w:noWrap w:val="false"/>
          </w:tcPr>
          <w:p>
            <w:pPr>
              <w:jc w:val="center"/>
              <w:spacing w:line="360" w:lineRule="auto"/>
              <w:rPr>
                <w:rFonts w:hint="eastAsia" w:ascii="宋体" w:hAnsi="宋体" w:eastAsia="宋体" w:cs="仿宋"/>
                <w:color w:val="auto"/>
                <w:sz w:val="24"/>
                <w:highlight w:val="none"/>
              </w:rPr>
            </w:pPr>
            <w:r>
              <w:rPr>
                <w:rFonts w:hint="eastAsia" w:ascii="宋体" w:hAnsi="宋体" w:eastAsia="Arial" w:cs="仿宋"/>
                <w:color w:val="auto"/>
                <w:sz w:val="24"/>
                <w:highlight w:val="none"/>
              </w:rPr>
              <w:t xml:space="preserve">二类以上标准（含二类）</w:t>
            </w:r>
            <w:r>
              <w:rPr>
                <w:color w:val="auto"/>
                <w:highlight w:val="none"/>
              </w:rPr>
            </w:r>
          </w:p>
        </w:tc>
        <w:tc>
          <w:tcPr>
            <w:tcW w:w="2458" w:type="dxa"/>
            <w:vAlign w:val="center"/>
            <w:textDirection w:val="lrTb"/>
            <w:noWrap w:val="false"/>
          </w:tcPr>
          <w:p>
            <w:pPr>
              <w:spacing w:line="360" w:lineRule="auto"/>
              <w:widowControl/>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樊巷街东侧、新正街北侧停车场</w:t>
            </w:r>
            <w:r>
              <w:rPr>
                <w:color w:val="auto"/>
                <w:highlight w:val="none"/>
              </w:rPr>
            </w:r>
          </w:p>
        </w:tc>
      </w:tr>
      <w:tr>
        <w:trPr>
          <w:trHeight w:val="512"/>
        </w:trPr>
        <w:tc>
          <w:tcPr>
            <w:tcW w:w="817" w:type="dxa"/>
            <w:vAlign w:val="center"/>
            <w:textDirection w:val="lrTb"/>
            <w:noWrap w:val="false"/>
          </w:tcPr>
          <w:p>
            <w:pPr>
              <w:pStyle w:val="1006"/>
              <w:ind w:firstLine="0"/>
              <w:jc w:val="center"/>
              <w:spacing w:line="360" w:lineRule="auto"/>
              <w:rPr>
                <w:rFonts w:hint="default" w:ascii="宋体" w:hAnsi="宋体" w:cs="仿宋"/>
                <w:color w:val="auto"/>
                <w:sz w:val="24"/>
                <w:szCs w:val="24"/>
                <w:highlight w:val="none"/>
              </w:rPr>
            </w:pPr>
            <w:r>
              <w:rPr>
                <w:rFonts w:hint="eastAsia" w:ascii="宋体" w:hAnsi="宋体" w:cs="仿宋"/>
                <w:color w:val="auto"/>
                <w:sz w:val="24"/>
                <w:szCs w:val="24"/>
                <w:highlight w:val="none"/>
              </w:rPr>
              <w:t xml:space="preserve">合计</w:t>
            </w:r>
            <w:r>
              <w:rPr>
                <w:color w:val="auto"/>
                <w:highlight w:val="none"/>
              </w:rPr>
            </w:r>
          </w:p>
        </w:tc>
        <w:tc>
          <w:tcPr>
            <w:tcW w:w="1418" w:type="dxa"/>
            <w:vAlign w:val="center"/>
            <w:textDirection w:val="lrTb"/>
            <w:noWrap w:val="false"/>
          </w:tcPr>
          <w:p>
            <w:pPr>
              <w:ind w:firstLine="425"/>
              <w:jc w:val="center"/>
              <w:spacing w:line="360" w:lineRule="auto"/>
              <w:widowControl/>
              <w:rPr>
                <w:rFonts w:hint="eastAsia" w:ascii="宋体" w:hAnsi="宋体" w:eastAsia="宋体" w:cs="仿宋"/>
                <w:color w:val="auto"/>
                <w:sz w:val="24"/>
                <w:highlight w:val="none"/>
              </w:rPr>
            </w:pPr>
            <w:r>
              <w:rPr>
                <w:rFonts w:hint="eastAsia" w:ascii="宋体" w:hAnsi="宋体" w:eastAsia="宋体" w:cs="仿宋"/>
                <w:color w:val="auto"/>
                <w:sz w:val="24"/>
                <w:highlight w:val="none"/>
                <w:lang w:bidi="ar"/>
              </w:rPr>
            </w:r>
            <w:r>
              <w:rPr>
                <w:color w:val="auto"/>
                <w:highlight w:val="none"/>
              </w:rPr>
            </w:r>
          </w:p>
        </w:tc>
        <w:tc>
          <w:tcPr>
            <w:tcW w:w="1275" w:type="dxa"/>
            <w:vAlign w:val="center"/>
            <w:textDirection w:val="lrTb"/>
            <w:noWrap w:val="false"/>
          </w:tcPr>
          <w:p>
            <w:pPr>
              <w:jc w:val="center"/>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r>
            <w:r>
              <w:rPr>
                <w:color w:val="auto"/>
                <w:highlight w:val="none"/>
              </w:rPr>
            </w:r>
          </w:p>
        </w:tc>
        <w:tc>
          <w:tcPr>
            <w:tcW w:w="1276" w:type="dxa"/>
            <w:vAlign w:val="center"/>
            <w:textDirection w:val="lrTb"/>
            <w:noWrap w:val="false"/>
          </w:tcPr>
          <w:p>
            <w:pPr>
              <w:jc w:val="center"/>
              <w:spacing w:line="360" w:lineRule="auto"/>
              <w:widowControl/>
              <w:rPr>
                <w:rFonts w:hint="default" w:ascii="宋体" w:hAnsi="宋体" w:eastAsia="宋体" w:cs="仿宋"/>
                <w:color w:val="auto"/>
                <w:sz w:val="24"/>
                <w:highlight w:val="none"/>
              </w:rPr>
            </w:pPr>
            <w:r>
              <w:rPr>
                <w:rFonts w:hint="eastAsia" w:ascii="宋体" w:hAnsi="宋体" w:eastAsia="宋体" w:cs="仿宋"/>
                <w:color w:val="auto"/>
                <w:sz w:val="24"/>
                <w:highlight w:val="none"/>
                <w:lang w:bidi="ar"/>
              </w:rPr>
              <w:t xml:space="preserve">206</w:t>
            </w:r>
            <w:r>
              <w:rPr>
                <w:color w:val="auto"/>
                <w:highlight w:val="none"/>
              </w:rPr>
            </w:r>
          </w:p>
        </w:tc>
        <w:tc>
          <w:tcPr>
            <w:tcW w:w="1276" w:type="dxa"/>
            <w:vAlign w:val="center"/>
            <w:textDirection w:val="lrTb"/>
            <w:noWrap w:val="false"/>
          </w:tcPr>
          <w:p>
            <w:pPr>
              <w:jc w:val="center"/>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r>
            <w:r>
              <w:rPr>
                <w:color w:val="auto"/>
                <w:highlight w:val="none"/>
              </w:rPr>
            </w:r>
          </w:p>
        </w:tc>
        <w:tc>
          <w:tcPr>
            <w:tcW w:w="2458" w:type="dxa"/>
            <w:vAlign w:val="center"/>
            <w:textDirection w:val="lrTb"/>
            <w:noWrap w:val="false"/>
          </w:tcPr>
          <w:p>
            <w:pPr>
              <w:ind w:firstLine="425"/>
              <w:spacing w:line="360" w:lineRule="auto"/>
              <w:widowControl/>
              <w:rPr>
                <w:rFonts w:hint="default" w:ascii="宋体" w:hAnsi="宋体" w:eastAsia="宋体" w:cs="仿宋"/>
                <w:color w:val="auto"/>
                <w:sz w:val="24"/>
                <w:highlight w:val="none"/>
              </w:rPr>
            </w:pPr>
            <w:r>
              <w:rPr>
                <w:rFonts w:hint="default" w:ascii="宋体" w:hAnsi="宋体" w:eastAsia="宋体" w:cs="仿宋"/>
                <w:color w:val="auto"/>
                <w:sz w:val="24"/>
                <w:highlight w:val="none"/>
              </w:rPr>
            </w:r>
            <w:r>
              <w:rPr>
                <w:color w:val="auto"/>
                <w:highlight w:val="none"/>
              </w:rPr>
            </w:r>
          </w:p>
        </w:tc>
      </w:tr>
    </w:tbl>
    <w:p>
      <w:pPr>
        <w:rPr>
          <w:rFonts w:hint="eastAsia" w:ascii="宋体" w:hAnsi="宋体" w:eastAsia="宋体" w:cs="仿宋"/>
          <w:color w:val="auto"/>
          <w:sz w:val="24"/>
          <w:highlight w:val="none"/>
        </w:rPr>
      </w:pPr>
      <w:r>
        <w:rPr>
          <w:rFonts w:hint="eastAsia" w:ascii="宋体" w:hAnsi="宋体" w:eastAsia="宋体" w:cs="仿宋"/>
          <w:color w:val="auto"/>
          <w:sz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cs="仿宋"/>
          <w:color w:val="auto"/>
          <w:sz w:val="24"/>
          <w:szCs w:val="24"/>
          <w:highlight w:val="none"/>
        </w:rPr>
      </w:pPr>
      <w:r>
        <w:rPr>
          <w:rFonts w:hint="eastAsia" w:ascii="宋体" w:hAnsi="宋体" w:cs="仿宋"/>
          <w:color w:val="auto"/>
          <w:sz w:val="24"/>
          <w:szCs w:val="24"/>
          <w:highlight w:val="none"/>
        </w:rPr>
      </w:r>
      <w:r>
        <w:rPr>
          <w:color w:val="auto"/>
          <w:highlight w:val="none"/>
        </w:rPr>
      </w:r>
    </w:p>
    <w:p>
      <w:pPr>
        <w:pStyle w:val="1006"/>
        <w:ind w:firstLine="0"/>
        <w:rPr>
          <w:rFonts w:hint="eastAsia" w:ascii="宋体" w:hAnsi="宋体" w:eastAsia="宋体" w:cs="仿宋"/>
          <w:bCs/>
          <w:color w:val="auto"/>
          <w:sz w:val="24"/>
          <w:szCs w:val="24"/>
          <w:highlight w:val="none"/>
        </w:rPr>
      </w:pPr>
      <w:r>
        <w:rPr>
          <w:rFonts w:hint="eastAsia" w:ascii="宋体" w:hAnsi="宋体" w:eastAsia="宋体" w:cs="仿宋"/>
          <w:bCs/>
          <w:color w:val="auto"/>
          <w:sz w:val="24"/>
          <w:szCs w:val="24"/>
          <w:highlight w:val="none"/>
          <w:lang w:val="en-US" w:eastAsia="zh-CN" w:bidi="ar-SA"/>
        </w:rPr>
        <w:t xml:space="preserve">2、技术参数</w:t>
      </w:r>
      <w:r>
        <w:rPr>
          <w:color w:val="auto"/>
          <w:highlight w:val="none"/>
        </w:rPr>
      </w:r>
    </w:p>
    <w:tbl>
      <w:tblPr>
        <w:tblStyle w:val="10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8563"/>
      </w:tblGrid>
      <w:tr>
        <w:trPr/>
        <w:tc>
          <w:tcPr>
            <w:gridSpan w:val="2"/>
            <w:tcW w:w="5000" w:type="pct"/>
            <w:vAlign w:val="top"/>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装配式公厕技术参数  </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名称</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装配式公厕</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安装要求</w:t>
            </w:r>
            <w:r>
              <w:rPr>
                <w:rFonts w:hint="eastAsia" w:ascii="仿宋" w:hAnsi="仿宋" w:eastAsia="仿宋" w:cs="仿宋"/>
                <w:color w:val="auto"/>
                <w:sz w:val="24"/>
                <w:highlight w:val="none"/>
              </w:rPr>
              <w:t xml:space="preserve">★</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厕所主体设计使用年限为二十年以上，总体包含厕所主体、厕所基础以及化粪池等。</w:t>
            </w:r>
            <w:r>
              <w:rPr>
                <w:rFonts w:hint="eastAsia" w:ascii="仿宋" w:hAnsi="仿宋" w:eastAsia="仿宋" w:cs="仿宋"/>
                <w:color w:val="auto"/>
                <w:sz w:val="24"/>
                <w:highlight w:val="none"/>
              </w:rPr>
              <w:t xml:space="preserve">厕所钢架在工厂制作，吊运至现场组合安装</w:t>
            </w:r>
            <w:r>
              <w:rPr>
                <w:rFonts w:hint="eastAsia" w:ascii="仿宋" w:hAnsi="仿宋" w:eastAsia="仿宋" w:cs="仿宋"/>
                <w:bCs/>
                <w:color w:val="auto"/>
                <w:sz w:val="24"/>
                <w:highlight w:val="none"/>
              </w:rPr>
              <w:t xml:space="preserve">。</w:t>
            </w:r>
            <w:r>
              <w:rPr>
                <w:color w:val="auto"/>
                <w:highlight w:val="none"/>
              </w:rPr>
            </w:r>
          </w:p>
        </w:tc>
      </w:tr>
      <w:tr>
        <w:trPr>
          <w:trHeight w:val="2251"/>
        </w:trPr>
        <w:tc>
          <w:tcPr>
            <w:tcW w:w="657" w:type="pct"/>
            <w:vAlign w:val="center"/>
            <w:textDirection w:val="lrTb"/>
            <w:noWrap w:val="false"/>
          </w:tcPr>
          <w:p>
            <w:pPr>
              <w:ind w:left="360" w:hanging="36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配置要求</w:t>
            </w:r>
            <w:r>
              <w:rPr>
                <w:rFonts w:hint="eastAsia" w:ascii="仿宋" w:hAnsi="仿宋" w:eastAsia="仿宋" w:cs="仿宋"/>
                <w:color w:val="auto"/>
                <w:sz w:val="24"/>
                <w:highlight w:val="none"/>
              </w:rPr>
              <w:t xml:space="preserve">★</w:t>
            </w:r>
            <w:r>
              <w:rPr>
                <w:color w:val="auto"/>
                <w:highlight w:val="none"/>
              </w:rPr>
            </w:r>
          </w:p>
        </w:tc>
        <w:tc>
          <w:tcPr>
            <w:tcW w:w="4343" w:type="pct"/>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所有公厕外部都需要亮化并各安装3个摄像头。</w:t>
            </w:r>
            <w:r>
              <w:rPr>
                <w:color w:val="auto"/>
                <w:highlight w:val="none"/>
              </w:rPr>
            </w:r>
          </w:p>
          <w:p>
            <w:pPr>
              <w:numPr>
                <w:ilvl w:val="0"/>
                <w:numId w:val="8"/>
              </w:numPr>
              <w:spacing w:line="400" w:lineRule="exact"/>
              <w:rPr>
                <w:rFonts w:hint="eastAsia" w:ascii="仿宋" w:hAnsi="仿宋" w:eastAsia="仿宋" w:cs="仿宋"/>
                <w:color w:val="auto"/>
                <w:sz w:val="24"/>
                <w:highlight w:val="none"/>
              </w:rPr>
            </w:pPr>
            <w:r>
              <w:rPr>
                <w:rFonts w:hint="eastAsia" w:ascii="宋体" w:hAnsi="宋体" w:eastAsia="宋体" w:cs="仿宋"/>
                <w:b/>
                <w:color w:val="auto"/>
                <w:sz w:val="24"/>
                <w:highlight w:val="none"/>
              </w:rPr>
              <w:t xml:space="preserve">汉城路停车场公厕</w:t>
            </w:r>
            <w:r>
              <w:rPr>
                <w:rFonts w:hint="eastAsia" w:ascii="仿宋" w:hAnsi="仿宋" w:eastAsia="仿宋" w:cs="仿宋"/>
                <w:b/>
                <w:bCs/>
                <w:color w:val="auto"/>
                <w:sz w:val="24"/>
                <w:highlight w:val="none"/>
                <w:lang w:bidi="ar"/>
              </w:rPr>
              <w:t xml:space="preserve">103平</w:t>
            </w: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szCs w:val="24"/>
                <w:highlight w:val="none"/>
                <w:lang w:val="en-US" w:eastAsia="zh-CN"/>
              </w:rPr>
              <w:t xml:space="preserve">均在</w:t>
            </w:r>
            <w:r>
              <w:rPr>
                <w:rFonts w:hint="eastAsia" w:ascii="仿宋" w:hAnsi="仿宋" w:eastAsia="仿宋" w:cs="仿宋"/>
                <w:color w:val="auto"/>
                <w:sz w:val="24"/>
                <w:highlight w:val="none"/>
                <w:lang w:bidi="ar"/>
              </w:rPr>
              <w:t xml:space="preserve">长</w:t>
            </w:r>
            <w:r>
              <w:rPr>
                <w:rFonts w:hint="eastAsia" w:ascii="仿宋" w:hAnsi="仿宋" w:eastAsia="仿宋" w:cs="仿宋"/>
                <w:color w:val="auto"/>
                <w:sz w:val="24"/>
                <w:highlight w:val="none"/>
                <w:lang w:val="en-US" w:eastAsia="zh-CN" w:bidi="ar"/>
              </w:rPr>
              <w:t xml:space="preserve">22</w:t>
            </w:r>
            <w:r>
              <w:rPr>
                <w:rFonts w:hint="eastAsia" w:ascii="仿宋" w:hAnsi="仿宋" w:eastAsia="仿宋" w:cs="仿宋"/>
                <w:color w:val="auto"/>
                <w:sz w:val="24"/>
                <w:highlight w:val="none"/>
                <w:lang w:bidi="ar"/>
              </w:rPr>
              <w:t xml:space="preserve">米、宽</w:t>
            </w:r>
            <w:r>
              <w:rPr>
                <w:rFonts w:hint="eastAsia" w:ascii="仿宋" w:hAnsi="仿宋" w:eastAsia="仿宋" w:cs="仿宋"/>
                <w:color w:val="auto"/>
                <w:sz w:val="24"/>
                <w:highlight w:val="none"/>
                <w:lang w:val="en-US" w:eastAsia="zh-CN" w:bidi="ar"/>
              </w:rPr>
              <w:t xml:space="preserve">7</w:t>
            </w:r>
            <w:r>
              <w:rPr>
                <w:rFonts w:hint="eastAsia" w:ascii="仿宋" w:hAnsi="仿宋" w:eastAsia="仿宋" w:cs="仿宋"/>
                <w:color w:val="auto"/>
                <w:sz w:val="24"/>
                <w:highlight w:val="none"/>
                <w:lang w:bidi="ar"/>
              </w:rPr>
              <w:t xml:space="preserve">米</w:t>
            </w:r>
            <w:r>
              <w:rPr>
                <w:rFonts w:hint="eastAsia" w:ascii="仿宋" w:hAnsi="仿宋" w:eastAsia="仿宋" w:cs="仿宋"/>
                <w:color w:val="auto"/>
                <w:sz w:val="24"/>
                <w:szCs w:val="24"/>
                <w:highlight w:val="none"/>
                <w:lang w:val="en-US" w:eastAsia="zh-CN"/>
              </w:rPr>
              <w:t xml:space="preserve">红线范围内</w:t>
            </w: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bidi="ar"/>
              </w:rPr>
              <w:t xml:space="preserve">内设男、女厕间、第三卫生间、管理间、工具间，男厕:5个蹲位、2个坐便器、8个小便器；女厕：12个蹲位，2个坐便器；盥洗区男女分开各配置：1个成人洗手盘1个儿童洗手盘；公厕内部配置空气净化系统、飘香设备、发光洗手镜、温度湿度显示装置；</w:t>
            </w:r>
            <w:r>
              <w:rPr>
                <w:color w:val="auto"/>
                <w:highlight w:val="none"/>
              </w:rPr>
            </w:r>
          </w:p>
          <w:p>
            <w:pPr>
              <w:numPr>
                <w:ilvl w:val="0"/>
                <w:numId w:val="8"/>
              </w:numPr>
              <w:spacing w:line="400" w:lineRule="exact"/>
              <w:rPr>
                <w:rFonts w:hint="eastAsia" w:ascii="仿宋" w:hAnsi="仿宋" w:eastAsia="仿宋" w:cs="仿宋"/>
                <w:color w:val="auto"/>
                <w:highlight w:val="none"/>
              </w:rPr>
            </w:pPr>
            <w:r>
              <w:rPr>
                <w:rFonts w:hint="eastAsia" w:ascii="仿宋" w:hAnsi="仿宋" w:eastAsia="仿宋" w:cs="仿宋"/>
                <w:b/>
                <w:bCs/>
                <w:color w:val="auto"/>
                <w:sz w:val="24"/>
                <w:highlight w:val="none"/>
                <w:lang w:bidi="ar"/>
              </w:rPr>
              <w:t xml:space="preserve">樊巷街停车场公厕103平</w:t>
            </w: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bidi="ar"/>
              </w:rPr>
              <w:t xml:space="preserve">均在长22米、宽7米红线范围内，</w:t>
            </w:r>
            <w:r>
              <w:rPr>
                <w:rFonts w:hint="eastAsia" w:ascii="仿宋" w:hAnsi="仿宋" w:eastAsia="仿宋" w:cs="仿宋"/>
                <w:color w:val="auto"/>
                <w:sz w:val="24"/>
                <w:highlight w:val="none"/>
                <w:lang w:bidi="ar"/>
              </w:rPr>
              <w:t xml:space="preserve">内设男、女厕间、第三卫生间、管理间、工具间，男厕:5个蹲位、2个坐便器、8个小便器；女厕：12个蹲位，2个坐便器；盥洗区男女分开各配置：1个成人洗手盘1个儿童洗手盘；公厕内部配置空气净化系统、飘香设备、发光洗手镜、温度湿度显示装置；</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冲洗方式</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红外线感应冲洗。</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排污方式</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经化粪池沉淀后经管道直排入污水管道。</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使用环境温度</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-20℃~40℃</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公厕底座</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采用10#及14#热镀锌槽钢与50mm×50mm角钢焊接成型构，带钢耳便于移动，底盘焊接处做好防腐防锈处理。</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墙体</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墙体边框主梁及辅梁均采用80㎜</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80㎜和40㎜</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80㎜</w:t>
            </w:r>
            <w:r>
              <w:rPr>
                <w:rFonts w:hint="eastAsia" w:ascii="仿宋" w:hAnsi="仿宋" w:eastAsia="仿宋" w:cs="仿宋"/>
                <w:bCs/>
                <w:color w:val="auto"/>
                <w:sz w:val="24"/>
                <w:highlight w:val="none"/>
              </w:rPr>
              <w:t xml:space="preserve">热镀锌镀锌</w:t>
            </w:r>
            <w:r>
              <w:rPr>
                <w:rFonts w:hint="eastAsia" w:ascii="仿宋" w:hAnsi="仿宋" w:eastAsia="仿宋" w:cs="仿宋"/>
                <w:color w:val="auto"/>
                <w:sz w:val="24"/>
                <w:highlight w:val="none"/>
              </w:rPr>
              <w:t xml:space="preserve">矩形钢管整体焊接成型。焊接处做防腐、防锈处理。</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顶部</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边框、主梁及辅梁均采用40㎜</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40㎜</w:t>
            </w:r>
            <w:r>
              <w:rPr>
                <w:rFonts w:hint="eastAsia" w:ascii="仿宋" w:hAnsi="仿宋" w:eastAsia="仿宋" w:cs="仿宋"/>
                <w:bCs/>
                <w:color w:val="auto"/>
                <w:sz w:val="24"/>
                <w:highlight w:val="none"/>
              </w:rPr>
              <w:t xml:space="preserve">热镀锌</w:t>
            </w:r>
            <w:r>
              <w:rPr>
                <w:rFonts w:hint="eastAsia" w:ascii="仿宋" w:hAnsi="仿宋" w:eastAsia="仿宋" w:cs="仿宋"/>
                <w:color w:val="auto"/>
                <w:sz w:val="24"/>
                <w:highlight w:val="none"/>
              </w:rPr>
              <w:t xml:space="preserve">方管焊接。</w:t>
            </w:r>
            <w:r>
              <w:rPr>
                <w:rFonts w:hint="eastAsia" w:ascii="仿宋" w:hAnsi="仿宋" w:eastAsia="仿宋" w:cs="仿宋"/>
                <w:color w:val="auto"/>
                <w:sz w:val="24"/>
                <w:highlight w:val="none"/>
                <w:lang w:val="zh-CN"/>
              </w:rPr>
              <w:t xml:space="preserve">顶部</w:t>
            </w:r>
            <w:r>
              <w:rPr>
                <w:rFonts w:hint="eastAsia" w:ascii="仿宋" w:hAnsi="仿宋" w:eastAsia="仿宋" w:cs="仿宋"/>
                <w:color w:val="auto"/>
                <w:sz w:val="24"/>
                <w:highlight w:val="none"/>
              </w:rPr>
              <w:t xml:space="preserve">为防火保温钢质岩棉瓦或欧文斯瓦。</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外墙面</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根据不同造型由业主确定外墙材料（如金属雕花板、外墙挂板等）装饰性强、美观、防水、防腐、耐候。</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窗户</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窗户选用优质铝合金材质，窗户大小需做到在满足自然通风条件的基础上做到隐蔽性，保护如厕人员的隐私安全；所有窗户要有防蚊纱窗。</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吊顶</w:t>
            </w:r>
            <w:r>
              <w:rPr>
                <w:color w:val="auto"/>
                <w:highlight w:val="none"/>
              </w:rPr>
            </w:r>
          </w:p>
        </w:tc>
        <w:tc>
          <w:tcPr>
            <w:tcW w:w="4343" w:type="pct"/>
            <w:vAlign w:val="center"/>
            <w:textDirection w:val="lrTb"/>
            <w:noWrap w:val="false"/>
          </w:tcPr>
          <w:p>
            <w:pPr>
              <w:pStyle w:val="1042"/>
              <w:spacing w:line="36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采用铝材集成吊顶（600mm</w:t>
            </w:r>
            <w:r>
              <w:rPr>
                <w:rFonts w:hint="eastAsia" w:ascii="仿宋" w:hAnsi="仿宋" w:eastAsia="仿宋" w:cs="仿宋"/>
                <w:bCs/>
                <w:color w:val="auto"/>
                <w:highlight w:val="none"/>
              </w:rPr>
              <w:t xml:space="preserve">×</w:t>
            </w:r>
            <w:r>
              <w:rPr>
                <w:rFonts w:hint="eastAsia" w:ascii="仿宋" w:hAnsi="仿宋" w:eastAsia="仿宋" w:cs="仿宋"/>
                <w:bCs/>
                <w:color w:val="auto"/>
                <w:highlight w:val="none"/>
              </w:rPr>
              <w:t xml:space="preserve">600mm），颜色由业主指定</w:t>
            </w:r>
            <w:r>
              <w:rPr>
                <w:rFonts w:hint="eastAsia" w:ascii="仿宋" w:hAnsi="仿宋" w:eastAsia="仿宋" w:cs="仿宋"/>
                <w:bCs/>
                <w:color w:val="auto"/>
                <w:highlight w:val="none"/>
                <w:lang w:val="zh-CN"/>
              </w:rPr>
              <w:t xml:space="preserve">；</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厕所内墙及地面</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内部墙体在钢架上贴装高档防腐阻燃的10mm以上硅酸钙板，墙面采用高档墙砖干挂安装。在底部钢架上铺设厚度不低于10mm的竹胶板，板面上铺设沙灰垫层，再铺设高档防滑地砖。</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蹲便器</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选用高档陶瓷蹲便器，蹲便器自带防臭水弯，以满足防臭功能。</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座便器</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选用高档陶瓷座便器，并安装助力扶手，第三卫生间紧急呼叫器。</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隔断</w:t>
            </w:r>
            <w:r>
              <w:rPr>
                <w:color w:val="auto"/>
                <w:highlight w:val="none"/>
              </w:rPr>
            </w:r>
          </w:p>
        </w:tc>
        <w:tc>
          <w:tcPr>
            <w:tcW w:w="4343" w:type="pct"/>
            <w:vAlign w:val="top"/>
            <w:textDirection w:val="lrTb"/>
            <w:noWrap w:val="false"/>
          </w:tcPr>
          <w:p>
            <w:pPr>
              <w:pStyle w:val="1042"/>
              <w:spacing w:line="36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各蹲位及小便斗之间的隔断材料用厚度不低于18mm的专业公厕隔断板，采用优质铝型材封边，铰链和门扣均为不锈钢材质。各蹲位隔断高度不低于1900mm，小便斗隔断的长不低于900mm，宽不低于400mm,安装高度不低于1400mm；蹲位尺寸满足国家标准。</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厕间配置</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每个男女厕间均安装不锈钢衣帽勾、配不锈钢纸盒、置物架。</w:t>
            </w:r>
            <w:r>
              <w:rPr>
                <w:color w:val="auto"/>
                <w:highlight w:val="none"/>
              </w:rPr>
            </w:r>
          </w:p>
        </w:tc>
      </w:tr>
      <w:tr>
        <w:trPr>
          <w:trHeight w:val="90"/>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小便间</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选用高档陶瓷小便斗，自动感应冲水。</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洗手池</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洗手池使用大理石的台面（尺寸不小于1200mm</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rPr>
              <w:t xml:space="preserve">600mm），安装台上陶瓷洗手盆（含儿童洗手盆），地面到台面高度为600-800mm。安装发光装饰镜，水龙头为感应龙头。</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电气及自动控制要求</w:t>
            </w:r>
            <w:r>
              <w:rPr>
                <w:color w:val="auto"/>
                <w:highlight w:val="none"/>
              </w:rPr>
            </w:r>
          </w:p>
        </w:tc>
        <w:tc>
          <w:tcPr>
            <w:tcW w:w="4343" w:type="pct"/>
            <w:vAlign w:val="top"/>
            <w:textDirection w:val="lrTb"/>
            <w:noWrap w:val="false"/>
          </w:tcPr>
          <w:p>
            <w:pPr>
              <w:jc w:val="left"/>
              <w:spacing w:line="400" w:lineRule="exact"/>
              <w:rPr>
                <w:rFonts w:hint="default" w:ascii="仿宋" w:hAnsi="仿宋" w:eastAsia="仿宋" w:cs="仿宋"/>
                <w:bCs/>
                <w:color w:val="auto"/>
                <w:sz w:val="24"/>
                <w:highlight w:val="none"/>
              </w:rPr>
            </w:pPr>
            <w:r>
              <w:rPr>
                <w:rFonts w:hint="eastAsia" w:ascii="仿宋" w:hAnsi="仿宋" w:eastAsia="仿宋" w:cs="仿宋"/>
                <w:bCs/>
                <w:color w:val="auto"/>
                <w:sz w:val="24"/>
                <w:highlight w:val="none"/>
              </w:rPr>
              <w:t xml:space="preserve">放置优质电控箱，所有电路汇总于此。电控箱置于管理间内，做到防水、防潮、防火，保证电路正常运作。箱内设置优质漏电控制开关，保证用电安全。厕所内部应设置换气系统，换气扇定时开启工作。采用LED节能照明灯，保证厕内所有区域照明充分。男女卫生间和大厅安装音乐播放器。大厅需要配置温度温度显示装置。</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门</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厕所大门选用铝合金电动静音卷帘门或钢化玻璃门；</w:t>
            </w:r>
            <w:r>
              <w:rPr>
                <w:color w:val="auto"/>
                <w:highlight w:val="none"/>
              </w:rPr>
            </w:r>
          </w:p>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厕所内部管理间、第三卫生间等内门选用优质复合门防水防腐。</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屋顶设计</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屋顶设计应具有防雨、保温的功能，保证厕间的室内外通风。同时屋顶造型与厕所整体相协调。</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第三卫生间</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设置成年人以及儿童座便器、洗手盆、并安装残疾人扶手。室内配备折叠式多功能台、儿童安全座椅，安装紧急呼叫器。</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管理间</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控制箱、电源插座、风扇、开关。</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给排水要求</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来水室外管径为φ50mm，给水管采用PPR材质。水路保温系统采用低电压碳纤维加热技术给管道壁加热，温度-10℃有效保证管道不上冻，同时在在管道上包裹一层10-30mm聚乙烯保温护套管有效防止热量散发，可保在冬季正常开放使用。</w:t>
            </w:r>
            <w:r>
              <w:rPr>
                <w:color w:val="auto"/>
                <w:highlight w:val="none"/>
              </w:rPr>
            </w:r>
          </w:p>
        </w:tc>
      </w:tr>
      <w:tr>
        <w:trPr>
          <w:trHeight w:val="272"/>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电线、电缆</w:t>
            </w:r>
            <w:r>
              <w:rPr>
                <w:color w:val="auto"/>
                <w:highlight w:val="none"/>
              </w:rPr>
            </w:r>
          </w:p>
        </w:tc>
        <w:tc>
          <w:tcPr>
            <w:tcW w:w="4343" w:type="pct"/>
            <w:vAlign w:val="center"/>
            <w:textDirection w:val="lrTb"/>
            <w:noWrap w:val="false"/>
          </w:tcPr>
          <w:p>
            <w:pPr>
              <w:jc w:val="lef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用电器均采用达到国家标准及相关规范的国标电线，电线采用暗装，所有电线均采用PVC保护管套或波纹管保护管。</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外部配套设施</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厕所大门前铺设防滑大理石台阶和无障碍通道（加装不锈钢扶手），厕所四周铺设散水坡。</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水电</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正式水、电开户费用由中标方负责并负责接入厕所。</w:t>
            </w:r>
            <w:r>
              <w:rPr>
                <w:rFonts w:hint="eastAsia" w:ascii="仿宋" w:hAnsi="仿宋" w:eastAsia="仿宋" w:cs="仿宋"/>
                <w:bCs/>
                <w:color w:val="auto"/>
                <w:sz w:val="24"/>
                <w:highlight w:val="none"/>
              </w:rPr>
              <w:t xml:space="preserve">市政用水、电220V/50Hz。施工用临时水电业主帮协调，费用由施工单位承担。</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厕所基础建造</w:t>
            </w:r>
            <w:r>
              <w:rPr>
                <w:color w:val="auto"/>
                <w:highlight w:val="none"/>
              </w:rPr>
            </w:r>
          </w:p>
        </w:tc>
        <w:tc>
          <w:tcPr>
            <w:tcW w:w="4343" w:type="pct"/>
            <w:vAlign w:val="top"/>
            <w:textDirection w:val="lrTb"/>
            <w:noWrap w:val="false"/>
          </w:tcPr>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基础按现场情况做成平基础或下挖基础，下挖地面以下600mm-800mm，预留空间保证维修人员正常维修排污管道及供水管道。主要是水泥地坪：素土夯实找平，10㎝厚的中石子垫层，10㎝厚C25砼。</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化粪池、雨、污水接入</w:t>
            </w:r>
            <w:r>
              <w:rPr>
                <w:color w:val="auto"/>
                <w:highlight w:val="none"/>
              </w:rPr>
            </w:r>
          </w:p>
        </w:tc>
        <w:tc>
          <w:tcPr>
            <w:tcW w:w="4343" w:type="pct"/>
            <w:vAlign w:val="center"/>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8立方米标准三格化粪池，须设有检修口和吸粪口。污水管采用管径φ200mm波纹管，</w:t>
            </w:r>
            <w:r>
              <w:rPr>
                <w:rFonts w:hint="eastAsia" w:ascii="仿宋" w:hAnsi="仿宋" w:eastAsia="仿宋" w:cs="仿宋"/>
                <w:b/>
                <w:color w:val="auto"/>
                <w:sz w:val="24"/>
                <w:highlight w:val="none"/>
              </w:rPr>
              <w:t xml:space="preserve">均需接入市政污水管网接入。</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效果图</w:t>
            </w:r>
            <w:r>
              <w:rPr>
                <w:color w:val="auto"/>
                <w:highlight w:val="none"/>
              </w:rPr>
            </w:r>
          </w:p>
        </w:tc>
        <w:tc>
          <w:tcPr>
            <w:tcW w:w="4343" w:type="pct"/>
            <w:vAlign w:val="top"/>
            <w:textDirection w:val="lrTb"/>
            <w:noWrap w:val="false"/>
          </w:tcPr>
          <w:p>
            <w:pPr>
              <w:jc w:val="left"/>
              <w:spacing w:line="400" w:lineRule="exact"/>
              <w:rPr>
                <w:rFonts w:hint="default" w:ascii="仿宋" w:hAnsi="仿宋" w:eastAsia="仿宋" w:cs="仿宋"/>
                <w:bCs/>
                <w:color w:val="auto"/>
                <w:sz w:val="24"/>
                <w:highlight w:val="none"/>
              </w:rPr>
            </w:pPr>
            <w:r>
              <w:rPr>
                <w:rFonts w:hint="eastAsia" w:ascii="仿宋" w:hAnsi="仿宋" w:eastAsia="仿宋" w:cs="仿宋"/>
                <w:bCs/>
                <w:color w:val="auto"/>
                <w:sz w:val="24"/>
                <w:highlight w:val="none"/>
              </w:rPr>
              <w:t xml:space="preserve">合同签订后，中标方向采购方提供所有厕所效果图，并经采购方确认后实施，如因现场施工环境等因素导致修改，中标供应商无条件提供新的改造方案，经采购方确认后实施，且不得改变原有的报价。请各投标人谨慎报价，风险自负。</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标识牌</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公厕标识齐全，材质为亚克力。</w:t>
            </w:r>
            <w:r>
              <w:rPr>
                <w:color w:val="auto"/>
                <w:highlight w:val="none"/>
              </w:rPr>
            </w:r>
          </w:p>
        </w:tc>
      </w:tr>
      <w:tr>
        <w:trPr/>
        <w:tc>
          <w:tcPr>
            <w:tcW w:w="657" w:type="pct"/>
            <w:vAlign w:val="center"/>
            <w:textDirection w:val="lrTb"/>
            <w:noWrap w:val="false"/>
          </w:tcPr>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质保期</w:t>
            </w:r>
            <w:r>
              <w:rPr>
                <w:color w:val="auto"/>
                <w:highlight w:val="none"/>
              </w:rPr>
            </w:r>
          </w:p>
        </w:tc>
        <w:tc>
          <w:tcPr>
            <w:tcW w:w="4343" w:type="pct"/>
            <w:vAlign w:val="top"/>
            <w:textDirection w:val="lrTb"/>
            <w:noWrap w:val="false"/>
          </w:tcPr>
          <w:p>
            <w:pPr>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验收合格之日起整体保修两年，防水设施质保五年。</w:t>
            </w:r>
            <w:r>
              <w:rPr>
                <w:color w:val="auto"/>
                <w:highlight w:val="none"/>
              </w:rPr>
            </w:r>
          </w:p>
        </w:tc>
      </w:tr>
      <w:tr>
        <w:trPr/>
        <w:tc>
          <w:tcPr>
            <w:tcW w:w="657" w:type="pct"/>
            <w:vAlign w:val="center"/>
            <w:textDirection w:val="lrTb"/>
            <w:noWrap w:val="false"/>
          </w:tcPr>
          <w:p>
            <w:pPr>
              <w:jc w:val="center"/>
              <w:spacing w:line="3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rPr>
                <w:color w:val="auto"/>
                <w:highlight w:val="none"/>
              </w:rPr>
            </w:r>
          </w:p>
          <w:p>
            <w:pPr>
              <w:jc w:val="center"/>
              <w:spacing w:line="3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执行</w:t>
            </w:r>
            <w:r>
              <w:rPr>
                <w:color w:val="auto"/>
                <w:highlight w:val="none"/>
              </w:rPr>
            </w:r>
          </w:p>
          <w:p>
            <w:pPr>
              <w:jc w:val="center"/>
              <w:spacing w:line="3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标准</w:t>
            </w:r>
            <w:r>
              <w:rPr>
                <w:color w:val="auto"/>
                <w:highlight w:val="none"/>
              </w:rPr>
            </w:r>
          </w:p>
        </w:tc>
        <w:tc>
          <w:tcPr>
            <w:tcW w:w="4343" w:type="pct"/>
            <w:vAlign w:val="top"/>
            <w:textDirection w:val="lrTb"/>
            <w:noWrap w:val="false"/>
          </w:tcPr>
          <w:p>
            <w:pPr>
              <w:jc w:val="left"/>
              <w:spacing w:line="3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a.产品符合中华人民共和国行业标准CJJ14-2016《城市公共厕所设计标准》要求。</w:t>
            </w:r>
            <w:r>
              <w:rPr>
                <w:color w:val="auto"/>
                <w:highlight w:val="none"/>
              </w:rPr>
            </w:r>
          </w:p>
          <w:p>
            <w:pPr>
              <w:jc w:val="left"/>
              <w:spacing w:line="3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b.产品卫生指标符合GB/T17217《城市公共厕所卫生标准》中水冲式厕所标准要求。</w:t>
            </w:r>
            <w:r>
              <w:rPr>
                <w:color w:val="auto"/>
                <w:highlight w:val="none"/>
              </w:rPr>
            </w:r>
          </w:p>
          <w:p>
            <w:pPr>
              <w:jc w:val="left"/>
              <w:spacing w:line="3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c.产品排放气体的臭气浓度、氨气浓度符合GB14554-93《恶臭污染物排放标准》。</w:t>
            </w:r>
            <w:r>
              <w:rPr>
                <w:color w:val="auto"/>
                <w:highlight w:val="none"/>
              </w:rPr>
            </w:r>
          </w:p>
          <w:p>
            <w:pPr>
              <w:spacing w:line="3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d.产品在企业生产经营范围之内；产品制造严格执行ISO9001-2000的质量管理标准。</w:t>
            </w:r>
            <w:r>
              <w:rPr>
                <w:color w:val="auto"/>
                <w:highlight w:val="none"/>
              </w:rPr>
            </w:r>
          </w:p>
        </w:tc>
      </w:tr>
    </w:tbl>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宋体" w:hAnsi="宋体" w:eastAsia="宋体" w:cs="仿宋"/>
          <w:color w:val="auto"/>
          <w:sz w:val="24"/>
          <w:highlight w:val="none"/>
        </w:rPr>
      </w:pPr>
      <w:r>
        <w:rPr>
          <w:rFonts w:hint="eastAsia" w:ascii="宋体" w:hAnsi="宋体" w:eastAsia="宋体" w:cs="仿宋"/>
          <w:color w:val="auto"/>
          <w:sz w:val="24"/>
          <w:highlight w:val="none"/>
        </w:rPr>
      </w:r>
      <w:r>
        <w:rPr>
          <w:color w:val="auto"/>
          <w:highlight w:val="none"/>
        </w:rPr>
      </w:r>
    </w:p>
    <w:p>
      <w:pPr>
        <w:pStyle w:val="1006"/>
        <w:ind w:firstLine="0"/>
        <w:rPr>
          <w:rFonts w:hint="default" w:ascii="宋体" w:hAnsi="宋体" w:cs="Times New Roman"/>
          <w:color w:val="auto"/>
          <w:highlight w:val="none"/>
        </w:rPr>
      </w:pPr>
      <w:r>
        <w:rPr>
          <w:rFonts w:hint="default" w:ascii="宋体" w:hAnsi="宋体" w:cs="Times New Roman"/>
          <w:color w:val="auto"/>
          <w:highlight w:val="none"/>
        </w:rPr>
      </w:r>
      <w:r>
        <w:rPr>
          <w:color w:val="auto"/>
          <w:highlight w:val="none"/>
        </w:rPr>
      </w:r>
    </w:p>
    <w:p>
      <w:pPr>
        <w:pStyle w:val="1006"/>
        <w:ind w:firstLine="0"/>
        <w:rPr>
          <w:rFonts w:hint="default" w:ascii="宋体" w:hAnsi="宋体" w:cs="Times New Roman"/>
          <w:b/>
          <w:bCs/>
          <w:color w:val="auto"/>
          <w:highlight w:val="none"/>
        </w:rPr>
      </w:pPr>
      <w:r>
        <w:rPr>
          <w:rFonts w:hint="default" w:ascii="宋体" w:hAnsi="宋体" w:cs="Times New Roman"/>
          <w:b/>
          <w:bCs/>
          <w:color w:val="auto"/>
          <w:highlight w:val="none"/>
        </w:rPr>
      </w:r>
      <w:r>
        <w:rPr>
          <w:color w:val="auto"/>
          <w:highlight w:val="none"/>
        </w:rPr>
      </w:r>
    </w:p>
    <w:p>
      <w:pPr>
        <w:ind w:firstLine="422"/>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有关要求说明</w:t>
      </w:r>
      <w:r>
        <w:rPr>
          <w:color w:val="auto"/>
          <w:highlight w:val="none"/>
        </w:rPr>
      </w:r>
    </w:p>
    <w:p>
      <w:pPr>
        <w:ind w:firstLine="422"/>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郑重提示：</w:t>
      </w:r>
      <w:r>
        <w:rPr>
          <w:color w:val="auto"/>
          <w:highlight w:val="none"/>
        </w:rPr>
      </w:r>
    </w:p>
    <w:p>
      <w:pPr>
        <w:ind w:firstLine="422"/>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（1）以上加“★”标志的为重要响应指标，且以上参数均不接受负偏离。</w:t>
      </w:r>
      <w:r>
        <w:rPr>
          <w:color w:val="auto"/>
          <w:highlight w:val="none"/>
        </w:rPr>
      </w:r>
    </w:p>
    <w:p>
      <w:pPr>
        <w:ind w:firstLine="422"/>
        <w:spacing w:line="520" w:lineRule="exact"/>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rPr>
        <w:t xml:space="preserve">优先采购：政府采购优先采购节能产品和环境产品。节能产品是指列入财政部、国家发展和改革委员会制定的《节能产品政府采购清单》。环境标志产品是指财政部、国家环保总局制定的《环境标志产品政府采购清单》。</w:t>
      </w:r>
      <w:r>
        <w:rPr>
          <w:color w:val="auto"/>
          <w:highlight w:val="none"/>
        </w:rPr>
      </w:r>
    </w:p>
    <w:p>
      <w:pPr>
        <w:ind w:firstLine="422"/>
        <w:spacing w:line="520" w:lineRule="exact"/>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bookmarkEnd w:id="49"/>
      <w:r>
        <w:rPr>
          <w:color w:val="auto"/>
          <w:highlight w:val="none"/>
        </w:rPr>
      </w:r>
      <w:bookmarkEnd w:id="50"/>
      <w:r>
        <w:rPr>
          <w:color w:val="auto"/>
          <w:highlight w:val="none"/>
        </w:rPr>
      </w:r>
      <w:r>
        <w:rPr>
          <w:color w:val="auto"/>
          <w:highlight w:val="none"/>
        </w:rPr>
      </w:r>
    </w:p>
    <w:p>
      <w:pPr>
        <w:spacing w:line="520" w:lineRule="exact"/>
        <w:rPr>
          <w:rFonts w:hint="eastAsia" w:ascii="宋体" w:hAnsi="宋体" w:eastAsia="宋体" w:cs="宋体"/>
          <w:b/>
          <w:bCs/>
          <w:color w:val="auto"/>
          <w:sz w:val="24"/>
          <w:highlight w:val="none"/>
        </w:rPr>
      </w:pPr>
      <w:r>
        <w:rPr>
          <w:color w:val="auto"/>
          <w:highlight w:val="none"/>
        </w:rPr>
      </w:r>
      <w:bookmarkStart w:id="51" w:name="_Toc17038"/>
      <w:r>
        <w:rPr>
          <w:rFonts w:hint="eastAsia" w:ascii="宋体" w:hAnsi="宋体" w:eastAsia="宋体" w:cs="宋体"/>
          <w:b/>
          <w:bCs/>
          <w:color w:val="auto"/>
          <w:sz w:val="24"/>
          <w:highlight w:val="none"/>
        </w:rPr>
        <w:t xml:space="preserve">四、工期：</w:t>
      </w:r>
      <w:bookmarkEnd w:id="51"/>
      <w:r>
        <w:rPr>
          <w:color w:val="auto"/>
          <w:highlight w:val="none"/>
        </w:rPr>
      </w:r>
      <w:r>
        <w:rPr>
          <w:color w:val="auto"/>
          <w:highlight w:val="none"/>
        </w:rPr>
      </w:r>
    </w:p>
    <w:p>
      <w:pPr>
        <w:contextualSpacing/>
        <w:ind w:firstLine="480"/>
        <w:spacing w:line="520" w:lineRule="exact"/>
        <w:widowControl/>
        <w:rPr>
          <w:rFonts w:hint="eastAsia" w:ascii="宋体" w:hAnsi="宋体" w:eastAsia="宋体" w:cs="宋体"/>
          <w:color w:val="auto"/>
          <w:sz w:val="24"/>
          <w:highlight w:val="none"/>
        </w:rPr>
      </w:pPr>
      <w:r>
        <w:rPr>
          <w:color w:val="auto"/>
          <w:highlight w:val="none"/>
        </w:rPr>
      </w:r>
      <w:bookmarkStart w:id="52" w:name="_Hlk58330947"/>
      <w:r>
        <w:rPr>
          <w:rFonts w:hint="eastAsia" w:ascii="宋体" w:hAnsi="宋体" w:eastAsia="宋体" w:cs="宋体"/>
          <w:color w:val="auto"/>
          <w:sz w:val="24"/>
          <w:highlight w:val="none"/>
        </w:rPr>
        <w:t xml:space="preserve">工期：自签订合同起45日（自然日）内完成并通过验收，每逾期1天，扣除合同总额的5‰（千分之五）。如供应商逾期交付达10天，采购人有权解除合同。</w:t>
      </w:r>
      <w:bookmarkEnd w:id="52"/>
      <w:r>
        <w:rPr>
          <w:color w:val="auto"/>
          <w:highlight w:val="none"/>
        </w:rPr>
      </w:r>
      <w:r>
        <w:rPr>
          <w:color w:val="auto"/>
          <w:highlight w:val="none"/>
        </w:rPr>
      </w:r>
    </w:p>
    <w:p>
      <w:pPr>
        <w:spacing w:line="520" w:lineRule="exact"/>
        <w:rPr>
          <w:rFonts w:hint="eastAsia" w:ascii="宋体" w:hAnsi="宋体" w:eastAsia="宋体" w:cs="宋体"/>
          <w:b/>
          <w:bCs/>
          <w:color w:val="auto"/>
          <w:sz w:val="24"/>
          <w:highlight w:val="none"/>
        </w:rPr>
      </w:pPr>
      <w:r>
        <w:rPr>
          <w:color w:val="auto"/>
          <w:highlight w:val="none"/>
        </w:rPr>
      </w:r>
      <w:bookmarkStart w:id="53" w:name="_Toc32220"/>
      <w:r>
        <w:rPr>
          <w:rFonts w:hint="eastAsia" w:ascii="宋体" w:hAnsi="宋体" w:eastAsia="宋体" w:cs="宋体"/>
          <w:b/>
          <w:bCs/>
          <w:color w:val="auto"/>
          <w:sz w:val="24"/>
          <w:highlight w:val="none"/>
        </w:rPr>
        <w:t xml:space="preserve">五、质量要求</w:t>
      </w:r>
      <w:bookmarkEnd w:id="53"/>
      <w:r>
        <w:rPr>
          <w:color w:val="auto"/>
          <w:highlight w:val="none"/>
        </w:rPr>
      </w:r>
      <w:r>
        <w:rPr>
          <w:color w:val="auto"/>
          <w:highlight w:val="none"/>
        </w:rPr>
      </w:r>
    </w:p>
    <w:p>
      <w:pPr>
        <w:contextualSpacing/>
        <w:ind w:firstLine="482"/>
        <w:spacing w:line="520" w:lineRule="exact"/>
        <w:widowControl/>
        <w:rPr>
          <w:rFonts w:hint="eastAsia" w:ascii="宋体" w:hAnsi="宋体" w:eastAsia="宋体" w:cs="宋体"/>
          <w:color w:val="auto"/>
          <w:sz w:val="24"/>
          <w:highlight w:val="none"/>
        </w:rPr>
      </w:pPr>
      <w:r>
        <w:rPr>
          <w:color w:val="auto"/>
          <w:highlight w:val="none"/>
        </w:rPr>
      </w:r>
      <w:bookmarkStart w:id="54" w:name="_Hlk58340938"/>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rPr>
        <w:t xml:space="preserve">成交产品的技术标准按国家标准执行，无国家标准的，按行业标准执行，无国家和行业标准的，按</w:t>
      </w:r>
      <w:r>
        <w:rPr>
          <w:rFonts w:hint="eastAsia" w:ascii="宋体" w:hAnsi="宋体" w:eastAsia="宋体" w:cs="宋体"/>
          <w:color w:val="auto"/>
          <w:sz w:val="24"/>
          <w:highlight w:val="none"/>
          <w:lang w:eastAsia="zh-Hans"/>
        </w:rPr>
        <w:t xml:space="preserve">采购人</w:t>
      </w:r>
      <w:r>
        <w:rPr>
          <w:rFonts w:hint="eastAsia" w:ascii="宋体" w:hAnsi="宋体" w:eastAsia="宋体" w:cs="宋体"/>
          <w:color w:val="auto"/>
          <w:sz w:val="24"/>
          <w:highlight w:val="none"/>
        </w:rPr>
        <w:t xml:space="preserve">标准执行；但在招标文件中有特别要求的，按招标文件中规定的要求执行，并且符合相关法律、法规规定的要求。</w:t>
      </w:r>
      <w:r>
        <w:rPr>
          <w:color w:val="auto"/>
          <w:highlight w:val="none"/>
        </w:rPr>
      </w:r>
    </w:p>
    <w:p>
      <w:pPr>
        <w:contextualSpacing/>
        <w:ind w:firstLine="482"/>
        <w:spacing w:line="52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rPr>
        <w:t xml:space="preserve">中标人应保证提供的产品不得侵犯第三方专利权、商标权和工业设计权、版权等。否则，中标人应负全部责任，并承担由此引起的一切后果。</w:t>
      </w:r>
      <w:r>
        <w:rPr>
          <w:color w:val="auto"/>
          <w:highlight w:val="none"/>
        </w:rPr>
      </w:r>
    </w:p>
    <w:p>
      <w:pPr>
        <w:contextualSpacing/>
        <w:ind w:firstLine="482"/>
        <w:spacing w:line="52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rPr>
        <w:t xml:space="preserve">中标人应采取必要的安全措施保证货物的运输及安装的安全，并承担货物的运输及安装过程中产生的风险。</w:t>
      </w:r>
      <w:bookmarkEnd w:id="54"/>
      <w:r>
        <w:rPr>
          <w:color w:val="auto"/>
          <w:highlight w:val="none"/>
        </w:rPr>
      </w:r>
      <w:r>
        <w:rPr>
          <w:color w:val="auto"/>
          <w:highlight w:val="none"/>
        </w:rPr>
      </w:r>
    </w:p>
    <w:p>
      <w:pPr>
        <w:contextualSpacing/>
        <w:ind w:firstLine="482"/>
        <w:spacing w:line="520" w:lineRule="exact"/>
        <w:widowControl/>
        <w:rPr>
          <w:rFonts w:hint="eastAsia" w:ascii="宋体" w:hAnsi="宋体" w:eastAsia="宋体" w:cs="宋体"/>
          <w:b/>
          <w:color w:val="auto"/>
          <w:sz w:val="24"/>
          <w:highlight w:val="none"/>
        </w:rPr>
      </w:pPr>
      <w:r>
        <w:rPr>
          <w:color w:val="auto"/>
          <w:highlight w:val="none"/>
        </w:rPr>
      </w:r>
      <w:bookmarkStart w:id="55" w:name="_Toc12637"/>
      <w:r>
        <w:rPr>
          <w:color w:val="auto"/>
          <w:highlight w:val="none"/>
        </w:rPr>
      </w:r>
      <w:bookmarkStart w:id="56" w:name="_Toc22160"/>
      <w:r>
        <w:rPr>
          <w:rFonts w:hint="eastAsia" w:ascii="宋体" w:hAnsi="宋体" w:eastAsia="宋体" w:cs="宋体"/>
          <w:b/>
          <w:color w:val="auto"/>
          <w:sz w:val="24"/>
          <w:highlight w:val="none"/>
        </w:rPr>
        <w:t xml:space="preserve">7.</w:t>
      </w:r>
      <w:r>
        <w:rPr>
          <w:rFonts w:hint="eastAsia" w:ascii="宋体" w:hAnsi="宋体" w:eastAsia="宋体" w:cs="宋体"/>
          <w:b/>
          <w:color w:val="auto"/>
          <w:sz w:val="24"/>
          <w:highlight w:val="none"/>
          <w:lang w:val="zh-CN"/>
        </w:rPr>
        <w:t xml:space="preserve"> 质保期限</w:t>
      </w:r>
      <w:r>
        <w:rPr>
          <w:rFonts w:hint="eastAsia" w:ascii="宋体" w:hAnsi="宋体" w:eastAsia="宋体" w:cs="宋体"/>
          <w:b/>
          <w:color w:val="auto"/>
          <w:sz w:val="24"/>
          <w:highlight w:val="none"/>
        </w:rPr>
        <w:t xml:space="preserve">（自交货并验收合格之日起计）</w:t>
      </w:r>
      <w:r>
        <w:rPr>
          <w:rFonts w:hint="eastAsia" w:ascii="宋体" w:hAnsi="宋体" w:eastAsia="宋体" w:cs="宋体"/>
          <w:b/>
          <w:color w:val="auto"/>
          <w:sz w:val="24"/>
          <w:highlight w:val="none"/>
          <w:lang w:val="zh-CN"/>
        </w:rPr>
        <w:t xml:space="preserve">：</w:t>
      </w:r>
      <w:bookmarkEnd w:id="55"/>
      <w:r>
        <w:rPr>
          <w:color w:val="auto"/>
          <w:highlight w:val="none"/>
        </w:rPr>
      </w:r>
      <w:bookmarkEnd w:id="56"/>
      <w:r>
        <w:rPr>
          <w:color w:val="auto"/>
          <w:highlight w:val="none"/>
        </w:rPr>
      </w:r>
      <w:r>
        <w:rPr>
          <w:color w:val="auto"/>
          <w:highlight w:val="none"/>
        </w:rPr>
      </w:r>
    </w:p>
    <w:p>
      <w:pPr>
        <w:contextualSpacing/>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产品免费质保期为：验收合格之日起整体保修两年，</w:t>
      </w:r>
      <w:r>
        <w:rPr>
          <w:rFonts w:hint="eastAsia" w:ascii="宋体" w:hAnsi="宋体" w:eastAsia="宋体" w:cs="宋体"/>
          <w:bCs/>
          <w:color w:val="auto"/>
          <w:sz w:val="24"/>
          <w:highlight w:val="none"/>
        </w:rPr>
        <w:t xml:space="preserve">防水设施质保五年。</w:t>
      </w:r>
      <w:r>
        <w:rPr>
          <w:color w:val="auto"/>
          <w:highlight w:val="none"/>
        </w:rPr>
      </w:r>
    </w:p>
    <w:p>
      <w:pPr>
        <w:spacing w:line="520" w:lineRule="exact"/>
        <w:rPr>
          <w:rFonts w:hint="eastAsia" w:ascii="宋体" w:hAnsi="宋体" w:eastAsia="宋体" w:cs="宋体"/>
          <w:b/>
          <w:bCs/>
          <w:color w:val="auto"/>
          <w:sz w:val="24"/>
          <w:highlight w:val="none"/>
        </w:rPr>
      </w:pPr>
      <w:r>
        <w:rPr>
          <w:color w:val="auto"/>
          <w:highlight w:val="none"/>
        </w:rPr>
      </w:r>
      <w:bookmarkStart w:id="57" w:name="_Toc28296"/>
      <w:r>
        <w:rPr>
          <w:rFonts w:hint="eastAsia" w:ascii="宋体" w:hAnsi="宋体" w:eastAsia="宋体" w:cs="宋体"/>
          <w:b/>
          <w:bCs/>
          <w:color w:val="auto"/>
          <w:sz w:val="24"/>
          <w:highlight w:val="none"/>
        </w:rPr>
        <w:t xml:space="preserve">六、</w:t>
      </w:r>
      <w:r>
        <w:rPr>
          <w:rFonts w:hint="eastAsia" w:ascii="宋体" w:hAnsi="宋体" w:eastAsia="宋体" w:cs="宋体"/>
          <w:b/>
          <w:color w:val="auto"/>
          <w:sz w:val="24"/>
          <w:highlight w:val="none"/>
        </w:rPr>
        <w:t xml:space="preserve">验收方案：</w:t>
      </w:r>
      <w:bookmarkEnd w:id="57"/>
      <w:r>
        <w:rPr>
          <w:color w:val="auto"/>
          <w:highlight w:val="none"/>
        </w:rPr>
      </w:r>
      <w:r>
        <w:rPr>
          <w:color w:val="auto"/>
          <w:highlight w:val="none"/>
        </w:rPr>
      </w:r>
    </w:p>
    <w:p>
      <w:pPr>
        <w:contextualSpacing/>
        <w:ind w:firstLine="480"/>
        <w:spacing w:line="520" w:lineRule="exact"/>
        <w:widowControl/>
        <w:rPr>
          <w:rFonts w:hint="eastAsia" w:ascii="宋体" w:hAnsi="宋体" w:eastAsia="宋体" w:cs="宋体"/>
          <w:color w:val="auto"/>
          <w:sz w:val="24"/>
          <w:highlight w:val="none"/>
        </w:rPr>
      </w:pPr>
      <w:r>
        <w:rPr>
          <w:color w:val="auto"/>
          <w:highlight w:val="none"/>
        </w:rPr>
      </w:r>
      <w:bookmarkStart w:id="58" w:name="_Hlk58342065"/>
      <w:r>
        <w:rPr>
          <w:rFonts w:hint="eastAsia" w:ascii="宋体" w:hAnsi="宋体" w:eastAsia="宋体" w:cs="宋体"/>
          <w:color w:val="auto"/>
          <w:sz w:val="24"/>
          <w:highlight w:val="none"/>
          <w:lang w:val="zh-CN"/>
        </w:rPr>
        <w:t xml:space="preserve">项目</w:t>
      </w:r>
      <w:r>
        <w:rPr>
          <w:rFonts w:hint="eastAsia" w:ascii="宋体" w:hAnsi="宋体" w:eastAsia="宋体" w:cs="宋体"/>
          <w:color w:val="auto"/>
          <w:sz w:val="24"/>
          <w:highlight w:val="none"/>
        </w:rPr>
        <w:t xml:space="preserve">完工后</w:t>
      </w:r>
      <w:r>
        <w:rPr>
          <w:rFonts w:hint="eastAsia" w:ascii="宋体" w:hAnsi="宋体" w:eastAsia="宋体" w:cs="宋体"/>
          <w:color w:val="auto"/>
          <w:sz w:val="24"/>
          <w:highlight w:val="none"/>
          <w:lang w:val="zh-CN"/>
        </w:rPr>
        <w:t xml:space="preserve">由采购方组织</w:t>
      </w:r>
      <w:r>
        <w:rPr>
          <w:rFonts w:hint="eastAsia" w:ascii="宋体" w:hAnsi="宋体" w:eastAsia="宋体" w:cs="宋体"/>
          <w:color w:val="auto"/>
          <w:sz w:val="24"/>
          <w:highlight w:val="none"/>
          <w:lang w:eastAsia="zh-Hans"/>
        </w:rPr>
        <w:t xml:space="preserve">专家</w:t>
      </w:r>
      <w:r>
        <w:rPr>
          <w:rFonts w:hint="eastAsia" w:ascii="宋体" w:hAnsi="宋体" w:eastAsia="宋体" w:cs="宋体"/>
          <w:color w:val="auto"/>
          <w:sz w:val="24"/>
          <w:highlight w:val="none"/>
        </w:rPr>
        <w:t xml:space="preserve">人员</w:t>
      </w:r>
      <w:r>
        <w:rPr>
          <w:rFonts w:hint="eastAsia" w:ascii="宋体" w:hAnsi="宋体" w:eastAsia="宋体" w:cs="宋体"/>
          <w:color w:val="auto"/>
          <w:sz w:val="24"/>
          <w:highlight w:val="none"/>
          <w:lang w:val="zh-CN"/>
        </w:rPr>
        <w:t xml:space="preserve">进行验收</w:t>
      </w:r>
      <w:bookmarkEnd w:id="58"/>
      <w:r>
        <w:rPr>
          <w:rFonts w:hint="eastAsia" w:ascii="宋体" w:hAnsi="宋体" w:eastAsia="宋体" w:cs="宋体"/>
          <w:color w:val="auto"/>
          <w:sz w:val="24"/>
          <w:highlight w:val="none"/>
          <w:lang w:val="zh-CN"/>
        </w:rPr>
        <w:t xml:space="preserve">。</w:t>
      </w:r>
      <w:r>
        <w:rPr>
          <w:color w:val="auto"/>
          <w:highlight w:val="none"/>
        </w:rPr>
      </w:r>
    </w:p>
    <w:p>
      <w:pPr>
        <w:spacing w:line="520" w:lineRule="exact"/>
        <w:rPr>
          <w:rFonts w:hint="eastAsia" w:ascii="宋体" w:hAnsi="宋体" w:eastAsia="宋体" w:cs="宋体"/>
          <w:b/>
          <w:bCs/>
          <w:color w:val="auto"/>
          <w:sz w:val="24"/>
          <w:highlight w:val="none"/>
        </w:rPr>
      </w:pPr>
      <w:r>
        <w:rPr>
          <w:color w:val="auto"/>
          <w:highlight w:val="none"/>
        </w:rPr>
      </w:r>
      <w:bookmarkStart w:id="59" w:name="_Toc31699"/>
      <w:r>
        <w:rPr>
          <w:rFonts w:hint="eastAsia" w:ascii="宋体" w:hAnsi="宋体" w:eastAsia="宋体" w:cs="宋体"/>
          <w:b/>
          <w:bCs/>
          <w:color w:val="auto"/>
          <w:sz w:val="24"/>
          <w:highlight w:val="none"/>
        </w:rPr>
        <w:t xml:space="preserve">七、</w:t>
      </w:r>
      <w:r>
        <w:rPr>
          <w:rFonts w:hint="eastAsia" w:ascii="宋体" w:hAnsi="宋体" w:eastAsia="宋体" w:cs="宋体"/>
          <w:b/>
          <w:color w:val="auto"/>
          <w:sz w:val="24"/>
          <w:highlight w:val="none"/>
        </w:rPr>
        <w:t xml:space="preserve">售后服务及其他:</w:t>
      </w:r>
      <w:bookmarkEnd w:id="59"/>
      <w:r>
        <w:rPr>
          <w:color w:val="auto"/>
          <w:highlight w:val="none"/>
        </w:rPr>
      </w:r>
      <w:r>
        <w:rPr>
          <w:color w:val="auto"/>
          <w:highlight w:val="none"/>
        </w:rPr>
      </w:r>
    </w:p>
    <w:p>
      <w:pPr>
        <w:contextualSpacing/>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zh-CN"/>
        </w:rPr>
        <w:t xml:space="preserve">须提供产品出现故障后的维修服务：</w:t>
      </w:r>
      <w:bookmarkStart w:id="60" w:name="_Hlk58344054"/>
      <w:r>
        <w:rPr>
          <w:rFonts w:hint="eastAsia" w:ascii="宋体" w:hAnsi="宋体" w:eastAsia="宋体" w:cs="宋体"/>
          <w:color w:val="auto"/>
          <w:sz w:val="24"/>
          <w:highlight w:val="none"/>
          <w:lang w:val="zh-CN"/>
        </w:rPr>
        <w:t xml:space="preserve">硬件设备运维，收到业主服务要求后 </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小时内响应，电话技术支持无效时或无法解决情况下，2 小时内到达维修现场，并在 24 小时内提出解决方案，直至修复；接到维修或技术服务要求后 1 小时内响应，2小时内到达维修现场，对于无法及时修复的故障 48 小时内提供备机服务。</w:t>
      </w:r>
      <w:bookmarkEnd w:id="60"/>
      <w:r>
        <w:rPr>
          <w:color w:val="auto"/>
          <w:highlight w:val="none"/>
        </w:rPr>
      </w:r>
      <w:r>
        <w:rPr>
          <w:color w:val="auto"/>
          <w:highlight w:val="none"/>
        </w:rPr>
      </w:r>
    </w:p>
    <w:p>
      <w:pPr>
        <w:spacing w:line="400" w:lineRule="exact"/>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八</w:t>
      </w:r>
      <w:r>
        <w:rPr>
          <w:rFonts w:hint="eastAsia" w:ascii="仿宋" w:hAnsi="仿宋" w:eastAsia="仿宋" w:cs="仿宋"/>
          <w:b/>
          <w:bCs/>
          <w:color w:val="auto"/>
          <w:sz w:val="24"/>
          <w:highlight w:val="none"/>
        </w:rPr>
        <w:t xml:space="preserve">、其他事项及要求以双方实际签订合同为准 </w:t>
      </w:r>
      <w:r>
        <w:rPr>
          <w:color w:val="auto"/>
          <w:highlight w:val="none"/>
        </w:rPr>
      </w:r>
    </w:p>
    <w:p>
      <w:pPr>
        <w:ind w:firstLine="482"/>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rPr>
          <w:color w:val="auto"/>
          <w:highlight w:val="none"/>
        </w:rPr>
      </w:r>
    </w:p>
    <w:p>
      <w:pPr>
        <w:pStyle w:val="1026"/>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rPr>
          <w:color w:val="auto"/>
          <w:highlight w:val="none"/>
        </w:rPr>
      </w:r>
    </w:p>
    <w:p>
      <w:pP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rPr>
          <w:color w:val="auto"/>
          <w:highlight w:val="none"/>
        </w:rPr>
      </w:r>
    </w:p>
    <w:p>
      <w:pP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rPr>
          <w:color w:val="auto"/>
          <w:highlight w:val="none"/>
        </w:rPr>
      </w:r>
    </w:p>
    <w:p>
      <w:pP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rPr>
          <w:color w:val="auto"/>
          <w:highlight w:val="none"/>
        </w:rPr>
      </w:r>
    </w:p>
    <w:p>
      <w:pP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br w:type="page" w:clear="all"/>
      </w:r>
      <w:r>
        <w:rPr>
          <w:color w:val="auto"/>
          <w:highlight w:val="none"/>
        </w:rPr>
      </w:r>
    </w:p>
    <w:p>
      <w:pP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rPr>
          <w:color w:val="auto"/>
          <w:highlight w:val="none"/>
        </w:rP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第七章   投标文件</w:t>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4"/>
          <w:highlight w:val="none"/>
        </w:rPr>
        <w:t xml:space="preserve">正或副本）</w:t>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投标人名称：</w:t>
      </w:r>
      <w:r>
        <w:rPr>
          <w:color w:val="auto"/>
          <w:highlight w:val="none"/>
        </w:rPr>
      </w:r>
    </w:p>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color w:val="auto"/>
          <w:highlight w:val="none"/>
        </w:rPr>
      </w:r>
    </w:p>
    <w:p>
      <w:pPr>
        <w:pStyle w:val="1028"/>
        <w:rPr>
          <w:rFonts w:hint="eastAsia"/>
          <w:color w:val="auto"/>
          <w:highlight w:val="none"/>
        </w:rPr>
      </w:pPr>
      <w:r>
        <w:rPr>
          <w:rFonts w:hint="eastAsia"/>
          <w:color w:val="auto"/>
          <w:highlight w:val="none"/>
        </w:rPr>
      </w:r>
      <w:r>
        <w:rPr>
          <w:color w:val="auto"/>
          <w:highlight w:val="none"/>
        </w:rPr>
      </w:r>
    </w:p>
    <w:p>
      <w:pPr>
        <w:pStyle w:val="1027"/>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color w:val="auto"/>
          <w:highlight w:val="none"/>
        </w:rPr>
      </w:pPr>
      <w:r>
        <w:rPr>
          <w:rFonts w:hint="eastAsia"/>
          <w:color w:val="auto"/>
          <w:highlight w:val="none"/>
        </w:rPr>
      </w:r>
      <w:r>
        <w:rPr>
          <w:color w:val="auto"/>
          <w:highlight w:val="none"/>
        </w:rPr>
      </w:r>
    </w:p>
    <w:p>
      <w:pPr>
        <w:pStyle w:val="1028"/>
        <w:rPr>
          <w:rFonts w:hint="eastAsia"/>
          <w:color w:val="auto"/>
          <w:highlight w:val="none"/>
        </w:rPr>
      </w:pPr>
      <w:r>
        <w:rPr>
          <w:rFonts w:hint="eastAsia"/>
          <w:color w:val="auto"/>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评分索引表</w:t>
      </w:r>
      <w:r>
        <w:rPr>
          <w:color w:val="auto"/>
          <w:highlight w:val="none"/>
        </w:rPr>
      </w:r>
    </w:p>
    <w:tbl>
      <w:tblPr>
        <w:tblStyle w:val="1004"/>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0"/>
        <w:gridCol w:w="4180"/>
      </w:tblGrid>
      <w:tr>
        <w:trPr>
          <w:jc w:val="center"/>
          <w:trHeight w:val="460"/>
        </w:trPr>
        <w:tc>
          <w:tcPr>
            <w:tcW w:w="5060" w:type="dxa"/>
            <w:vAlign w:val="top"/>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sz w:val="28"/>
                <w:szCs w:val="36"/>
                <w:highlight w:val="none"/>
              </w:rPr>
              <w:t xml:space="preserve">评分项目</w:t>
            </w:r>
            <w:r>
              <w:rPr>
                <w:color w:val="auto"/>
                <w:highlight w:val="none"/>
              </w:rPr>
            </w:r>
          </w:p>
        </w:tc>
        <w:tc>
          <w:tcPr>
            <w:tcW w:w="4180" w:type="dxa"/>
            <w:vAlign w:val="top"/>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sz w:val="28"/>
                <w:szCs w:val="36"/>
                <w:highlight w:val="none"/>
              </w:rPr>
              <w:t xml:space="preserve">在投标文件中的页码位置</w:t>
            </w:r>
            <w:r>
              <w:rPr>
                <w:color w:val="auto"/>
                <w:highlight w:val="none"/>
              </w:rPr>
            </w:r>
          </w:p>
        </w:tc>
      </w:tr>
      <w:tr>
        <w:trPr>
          <w:jc w:val="center"/>
          <w:trHeight w:val="446"/>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300"/>
        </w:trPr>
        <w:tc>
          <w:tcPr>
            <w:gridSpan w:val="2"/>
            <w:tcW w:w="924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32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28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46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46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28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389"/>
        </w:trPr>
        <w:tc>
          <w:tcPr>
            <w:gridSpan w:val="2"/>
            <w:tcW w:w="924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60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16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289"/>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278"/>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269"/>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460"/>
        </w:trPr>
        <w:tc>
          <w:tcPr>
            <w:gridSpan w:val="2"/>
            <w:tcW w:w="924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32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28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32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260"/>
        </w:trPr>
        <w:tc>
          <w:tcPr>
            <w:gridSpan w:val="2"/>
            <w:tcW w:w="924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50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r>
        <w:trPr>
          <w:jc w:val="center"/>
          <w:trHeight w:val="440"/>
        </w:trPr>
        <w:tc>
          <w:tcPr>
            <w:tcW w:w="506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c>
          <w:tcPr>
            <w:tcW w:w="4180" w:type="dxa"/>
            <w:vAlign w:val="top"/>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tc>
      </w:tr>
    </w:tbl>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color w:val="auto"/>
          <w:highlight w:val="none"/>
        </w:rPr>
      </w:pPr>
      <w:r>
        <w:rPr>
          <w:rFonts w:hint="eastAsia"/>
          <w:color w:val="auto"/>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2"/>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pStyle w:val="1012"/>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投标主要文件目录</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一、资格性和符合性检查响应对照表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二、资信证明文件</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三、投标函</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四、开标一览表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五、报价清单（分项价格表）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六、技术参数响应及偏离表（如有）</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七、商务条款响应及偏离表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八、项目实施方案</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九、沛县政府采购事前信用承诺书</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十、评标办法中要求提供的其他相关证明材料</w:t>
      </w:r>
      <w:r>
        <w:rPr>
          <w:color w:val="auto"/>
          <w:highlight w:val="none"/>
        </w:rPr>
      </w:r>
    </w:p>
    <w:p>
      <w:pPr>
        <w:ind w:firstLine="480"/>
        <w:spacing w:line="288"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color w:val="auto"/>
          <w:highlight w:val="none"/>
        </w:rP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color w:val="auto"/>
          <w:highlight w:val="none"/>
        </w:rPr>
      </w:pPr>
      <w:r>
        <w:rPr>
          <w:rFonts w:hint="eastAsia"/>
          <w:color w:val="auto"/>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一、资格性和符合性检查响应对照表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投标人全称：（加盖公章）</w:t>
      </w:r>
      <w:r>
        <w:rPr>
          <w:color w:val="auto"/>
          <w:highlight w:val="none"/>
        </w:rPr>
      </w:r>
    </w:p>
    <w:tbl>
      <w:tblPr>
        <w:tblStyle w:val="1004"/>
        <w:tblpPr w:horzAnchor="page" w:tblpX="1376" w:vertAnchor="text" w:tblpY="369" w:leftFromText="180" w:topFromText="0" w:rightFromText="180" w:bottomFromText="0"/>
        <w:tblW w:w="90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4062"/>
        <w:gridCol w:w="2092"/>
        <w:gridCol w:w="1937"/>
      </w:tblGrid>
      <w:tr>
        <w:trPr>
          <w:trHeight w:val="882"/>
        </w:trPr>
        <w:tc>
          <w:tcPr>
            <w:tcW w:w="943"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rPr>
                <w:color w:val="auto"/>
                <w:highlight w:val="none"/>
              </w:rPr>
            </w:r>
          </w:p>
        </w:tc>
        <w:tc>
          <w:tcPr>
            <w:tcW w:w="406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资格性和符合性检查响应内容</w:t>
            </w:r>
            <w:r>
              <w:rPr>
                <w:color w:val="auto"/>
                <w:highlight w:val="none"/>
              </w:rPr>
            </w:r>
          </w:p>
        </w:tc>
        <w:tc>
          <w:tcPr>
            <w:tcW w:w="209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是否响应</w:t>
            </w:r>
            <w:r>
              <w:rPr>
                <w:color w:val="auto"/>
                <w:highlight w:val="none"/>
              </w:rPr>
            </w:r>
          </w:p>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（填是或者否）</w:t>
            </w:r>
            <w:r>
              <w:rPr>
                <w:color w:val="auto"/>
                <w:highlight w:val="none"/>
              </w:rPr>
            </w:r>
          </w:p>
        </w:tc>
        <w:tc>
          <w:tcPr>
            <w:tcW w:w="1937"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投标文件中的</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页码位置</w:t>
            </w:r>
            <w:r>
              <w:rPr>
                <w:color w:val="auto"/>
                <w:highlight w:val="none"/>
              </w:rPr>
            </w:r>
          </w:p>
        </w:tc>
      </w:tr>
      <w:tr>
        <w:trPr>
          <w:trHeight w:val="513"/>
        </w:trPr>
        <w:tc>
          <w:tcPr>
            <w:tcW w:w="943"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color w:val="auto"/>
                <w:highlight w:val="none"/>
              </w:rPr>
            </w:r>
          </w:p>
        </w:tc>
        <w:tc>
          <w:tcPr>
            <w:tcW w:w="406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09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93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90"/>
        </w:trPr>
        <w:tc>
          <w:tcPr>
            <w:tcW w:w="943"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color w:val="auto"/>
                <w:highlight w:val="none"/>
              </w:rPr>
            </w:r>
          </w:p>
        </w:tc>
        <w:tc>
          <w:tcPr>
            <w:tcW w:w="406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09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93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90"/>
        </w:trPr>
        <w:tc>
          <w:tcPr>
            <w:tcW w:w="943"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color w:val="auto"/>
                <w:highlight w:val="none"/>
              </w:rPr>
            </w:r>
          </w:p>
        </w:tc>
        <w:tc>
          <w:tcPr>
            <w:tcW w:w="406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09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93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90"/>
        </w:trPr>
        <w:tc>
          <w:tcPr>
            <w:tcW w:w="943"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color w:val="auto"/>
                <w:highlight w:val="none"/>
              </w:rPr>
            </w:r>
          </w:p>
        </w:tc>
        <w:tc>
          <w:tcPr>
            <w:tcW w:w="406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09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93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90"/>
        </w:trPr>
        <w:tc>
          <w:tcPr>
            <w:tcW w:w="943"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rPr>
                <w:color w:val="auto"/>
                <w:highlight w:val="none"/>
              </w:rPr>
            </w:r>
          </w:p>
        </w:tc>
        <w:tc>
          <w:tcPr>
            <w:tcW w:w="406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09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93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90"/>
        </w:trPr>
        <w:tc>
          <w:tcPr>
            <w:tcW w:w="943"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rPr>
                <w:color w:val="auto"/>
                <w:highlight w:val="none"/>
              </w:rPr>
            </w:r>
          </w:p>
        </w:tc>
        <w:tc>
          <w:tcPr>
            <w:tcW w:w="406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09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93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90"/>
        </w:trPr>
        <w:tc>
          <w:tcPr>
            <w:tcW w:w="943"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rPr>
                <w:color w:val="auto"/>
                <w:highlight w:val="none"/>
              </w:rPr>
            </w:r>
          </w:p>
        </w:tc>
        <w:tc>
          <w:tcPr>
            <w:tcW w:w="406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09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93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bl>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color w:val="auto"/>
          <w:highlight w:val="none"/>
        </w:rPr>
      </w:r>
    </w:p>
    <w:p>
      <w:pPr>
        <w:jc w:val="center"/>
        <w:spacing w:line="360" w:lineRule="auto"/>
        <w:rPr>
          <w:rFonts w:hint="eastAsia" w:ascii="仿宋" w:hAnsi="仿宋" w:eastAsia="仿宋" w:cs="仿宋"/>
          <w:i/>
          <w:color w:val="auto"/>
          <w:sz w:val="28"/>
          <w:szCs w:val="28"/>
          <w:highlight w:val="none"/>
          <w:u w:val="single"/>
        </w:rPr>
      </w:pPr>
      <w:r>
        <w:rPr>
          <w:rFonts w:hint="eastAsia" w:ascii="仿宋" w:hAnsi="仿宋" w:eastAsia="仿宋" w:cs="仿宋"/>
          <w:b/>
          <w:bCs/>
          <w:color w:val="auto"/>
          <w:sz w:val="28"/>
          <w:szCs w:val="28"/>
          <w:highlight w:val="none"/>
        </w:rPr>
        <w:t xml:space="preserve">二、资格信誉等证明文件要求</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1、实质性资格证明文件目录</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文件1、投标人合法有效的法人的营业执照（或事业单位法人证书）或其他组织应提供合法证明文件的原件扫描件（加盖电子签章）。</w:t>
      </w:r>
      <w:r>
        <w:rPr>
          <w:color w:val="auto"/>
          <w:highlight w:val="none"/>
        </w:rPr>
      </w:r>
    </w:p>
    <w:p>
      <w:pPr>
        <w:ind w:firstLine="480"/>
        <w:spacing w:line="288" w:lineRule="auto"/>
        <w:widowControl/>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文件2、</w:t>
      </w:r>
      <w:r>
        <w:rPr>
          <w:rStyle w:val="1016"/>
          <w:rFonts w:hint="eastAsia" w:ascii="仿宋" w:hAnsi="仿宋" w:eastAsia="仿宋" w:cs="仿宋"/>
          <w:bCs/>
          <w:color w:val="auto"/>
          <w:sz w:val="24"/>
          <w:highlight w:val="none"/>
        </w:rPr>
        <w:t xml:space="preserve">投标人的提交首次响应文件时间前6个月（</w:t>
      </w:r>
      <w:r>
        <w:rPr>
          <w:rFonts w:hint="eastAsia" w:ascii="仿宋" w:hAnsi="仿宋" w:eastAsia="仿宋" w:cs="仿宋"/>
          <w:bCs/>
          <w:color w:val="auto"/>
          <w:sz w:val="24"/>
          <w:highlight w:val="none"/>
        </w:rPr>
        <w:t xml:space="preserve">不含开标当月</w:t>
      </w:r>
      <w:r>
        <w:rPr>
          <w:rStyle w:val="1016"/>
          <w:rFonts w:hint="eastAsia" w:ascii="仿宋" w:hAnsi="仿宋" w:eastAsia="仿宋" w:cs="仿宋"/>
          <w:bCs/>
          <w:color w:val="auto"/>
          <w:sz w:val="24"/>
          <w:highlight w:val="none"/>
        </w:rPr>
        <w:t xml:space="preserve">）内任何日期的资产负债表和利润表月报表</w:t>
      </w:r>
      <w:r>
        <w:rPr>
          <w:rFonts w:hint="eastAsia" w:ascii="仿宋" w:hAnsi="仿宋" w:eastAsia="仿宋" w:cs="仿宋"/>
          <w:bCs/>
          <w:color w:val="auto"/>
          <w:sz w:val="24"/>
          <w:highlight w:val="none"/>
        </w:rPr>
        <w:t xml:space="preserve">（原件扫描件）</w:t>
      </w:r>
      <w:r>
        <w:rPr>
          <w:rStyle w:val="1016"/>
          <w:rFonts w:hint="eastAsia" w:ascii="仿宋" w:hAnsi="仿宋" w:eastAsia="仿宋" w:cs="仿宋"/>
          <w:bCs/>
          <w:color w:val="auto"/>
          <w:sz w:val="24"/>
          <w:highlight w:val="none"/>
        </w:rPr>
        <w:t xml:space="preserve">；或投标人基本开户银行出具的有效的资信证明</w:t>
      </w:r>
      <w:r>
        <w:rPr>
          <w:rFonts w:hint="eastAsia" w:ascii="仿宋" w:hAnsi="仿宋" w:eastAsia="仿宋" w:cs="仿宋"/>
          <w:bCs/>
          <w:color w:val="auto"/>
          <w:sz w:val="24"/>
          <w:highlight w:val="none"/>
        </w:rPr>
        <w:t xml:space="preserve">（原件扫描件）</w:t>
      </w:r>
      <w:r>
        <w:rPr>
          <w:rStyle w:val="1016"/>
          <w:rFonts w:hint="eastAsia" w:ascii="仿宋" w:hAnsi="仿宋" w:eastAsia="仿宋" w:cs="仿宋"/>
          <w:bCs/>
          <w:color w:val="auto"/>
          <w:sz w:val="24"/>
          <w:highlight w:val="none"/>
        </w:rPr>
        <w:t xml:space="preserve">；或财政部门认可的政府采购专业担保机构出具的有效的担保函</w:t>
      </w:r>
      <w:r>
        <w:rPr>
          <w:rFonts w:hint="eastAsia" w:ascii="仿宋" w:hAnsi="仿宋" w:eastAsia="仿宋" w:cs="仿宋"/>
          <w:bCs/>
          <w:color w:val="auto"/>
          <w:sz w:val="24"/>
          <w:highlight w:val="none"/>
        </w:rPr>
        <w:t xml:space="preserve">（原件扫描件）</w:t>
      </w:r>
      <w:r>
        <w:rPr>
          <w:rStyle w:val="1016"/>
          <w:rFonts w:hint="eastAsia" w:ascii="仿宋" w:hAnsi="仿宋" w:eastAsia="仿宋" w:cs="仿宋"/>
          <w:bCs/>
          <w:color w:val="auto"/>
          <w:sz w:val="24"/>
          <w:highlight w:val="none"/>
        </w:rPr>
        <w:t xml:space="preserve">；或合法有效的经第三方机构审计的年度财务审计报告</w:t>
      </w:r>
      <w:r>
        <w:rPr>
          <w:rFonts w:hint="eastAsia" w:ascii="仿宋" w:hAnsi="仿宋" w:eastAsia="仿宋" w:cs="仿宋"/>
          <w:bCs/>
          <w:color w:val="auto"/>
          <w:sz w:val="24"/>
          <w:highlight w:val="none"/>
        </w:rPr>
        <w:t xml:space="preserve">（原件扫描件）</w:t>
      </w:r>
      <w:r>
        <w:rPr>
          <w:rStyle w:val="1016"/>
          <w:rFonts w:hint="eastAsia" w:ascii="仿宋" w:hAnsi="仿宋" w:eastAsia="仿宋" w:cs="仿宋"/>
          <w:bCs/>
          <w:color w:val="auto"/>
          <w:sz w:val="24"/>
          <w:highlight w:val="none"/>
        </w:rPr>
        <w:t xml:space="preserve">（202</w:t>
      </w:r>
      <w:r>
        <w:rPr>
          <w:rStyle w:val="1016"/>
          <w:rFonts w:hint="eastAsia" w:ascii="仿宋" w:hAnsi="仿宋" w:eastAsia="仿宋" w:cs="仿宋"/>
          <w:bCs/>
          <w:color w:val="auto"/>
          <w:sz w:val="24"/>
          <w:highlight w:val="none"/>
          <w:lang w:val="en-US"/>
        </w:rPr>
        <w:t xml:space="preserve">4</w:t>
      </w:r>
      <w:r>
        <w:rPr>
          <w:rStyle w:val="1016"/>
          <w:rFonts w:hint="eastAsia" w:ascii="仿宋" w:hAnsi="仿宋" w:eastAsia="仿宋" w:cs="仿宋"/>
          <w:bCs/>
          <w:color w:val="auto"/>
          <w:sz w:val="24"/>
          <w:highlight w:val="none"/>
        </w:rPr>
        <w:t xml:space="preserve">年度，</w:t>
      </w:r>
      <w:r>
        <w:rPr>
          <w:rFonts w:hint="eastAsia" w:ascii="仿宋" w:hAnsi="仿宋" w:eastAsia="仿宋" w:cs="仿宋"/>
          <w:bCs/>
          <w:color w:val="auto"/>
          <w:sz w:val="24"/>
          <w:highlight w:val="none"/>
        </w:rPr>
        <w:t xml:space="preserve">应包括审计报告正文、资产负债表、现金流量表、利润表）。</w:t>
      </w:r>
      <w:r>
        <w:rPr>
          <w:color w:val="auto"/>
          <w:highlight w:val="none"/>
        </w:rPr>
      </w:r>
    </w:p>
    <w:p>
      <w:pPr>
        <w:ind w:firstLine="480"/>
        <w:spacing w:line="288" w:lineRule="auto"/>
        <w:widowControl/>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文件3、投标人的“</w:t>
      </w:r>
      <w:r>
        <w:rPr>
          <w:rFonts w:hint="eastAsia" w:ascii="仿宋" w:hAnsi="仿宋" w:eastAsia="仿宋" w:cs="仿宋"/>
          <w:bCs/>
          <w:color w:val="auto"/>
          <w:sz w:val="24"/>
          <w:highlight w:val="none"/>
        </w:rPr>
        <w:t xml:space="preserve">首次响应文件提交的截止时间</w:t>
      </w:r>
      <w:r>
        <w:rPr>
          <w:rFonts w:hint="eastAsia" w:ascii="仿宋" w:hAnsi="仿宋" w:eastAsia="仿宋" w:cs="仿宋"/>
          <w:color w:val="auto"/>
          <w:sz w:val="24"/>
          <w:highlight w:val="none"/>
        </w:rPr>
        <w:t xml:space="preserve">”前6个月内（不含开标当月）任何1月的依法缴纳税收和社会保障资金的相关材料的扫描件</w:t>
      </w:r>
      <w:r>
        <w:rPr>
          <w:rFonts w:hint="eastAsia" w:ascii="仿宋" w:hAnsi="仿宋" w:eastAsia="仿宋" w:cs="仿宋"/>
          <w:bCs/>
          <w:color w:val="auto"/>
          <w:sz w:val="24"/>
          <w:highlight w:val="none"/>
        </w:rPr>
        <w:t xml:space="preserve">。</w:t>
      </w:r>
      <w:r>
        <w:rPr>
          <w:color w:val="auto"/>
          <w:highlight w:val="none"/>
        </w:rPr>
      </w:r>
    </w:p>
    <w:p>
      <w:pPr>
        <w:ind w:firstLine="480"/>
        <w:spacing w:line="288" w:lineRule="auto"/>
        <w:widowControl/>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文件4 、</w:t>
      </w:r>
      <w:r>
        <w:rPr>
          <w:rFonts w:hint="eastAsia" w:ascii="仿宋" w:hAnsi="仿宋" w:eastAsia="仿宋" w:cs="仿宋"/>
          <w:bCs/>
          <w:color w:val="auto"/>
          <w:sz w:val="24"/>
          <w:highlight w:val="none"/>
        </w:rPr>
        <w:t xml:space="preserve">具备履行合同所必需的设备和专业技术能力的证明材料。</w:t>
      </w:r>
      <w:r>
        <w:rPr>
          <w:color w:val="auto"/>
          <w:highlight w:val="none"/>
        </w:rPr>
      </w:r>
    </w:p>
    <w:p>
      <w:pPr>
        <w:pStyle w:val="1005"/>
        <w:ind w:firstLine="480"/>
        <w:spacing w:line="312" w:lineRule="auto"/>
        <w:rPr>
          <w:rFonts w:hint="eastAsia" w:ascii="仿宋" w:hAnsi="仿宋" w:eastAsia="仿宋" w:cs="仿宋"/>
          <w:bCs/>
          <w:color w:val="auto"/>
          <w:sz w:val="24"/>
          <w:highlight w:val="none"/>
        </w:rPr>
      </w:pPr>
      <w:r>
        <w:rPr>
          <w:rStyle w:val="1016"/>
          <w:rFonts w:hint="eastAsia" w:ascii="仿宋" w:hAnsi="仿宋" w:eastAsia="仿宋" w:cs="仿宋"/>
          <w:bCs/>
          <w:color w:val="auto"/>
          <w:sz w:val="24"/>
          <w:highlight w:val="none"/>
        </w:rPr>
        <w:t xml:space="preserve">投标文件中提供《具备履行合同所必需的设备和专业技术能力的书面声明》，加盖电子签章，格式见本文件第七章《投标文件相关格式》</w:t>
      </w:r>
      <w:r>
        <w:rPr>
          <w:rFonts w:hint="eastAsia" w:ascii="仿宋" w:hAnsi="仿宋" w:eastAsia="仿宋" w:cs="仿宋"/>
          <w:bCs/>
          <w:color w:val="auto"/>
          <w:sz w:val="24"/>
          <w:highlight w:val="none"/>
        </w:rPr>
        <w:t xml:space="preserve">。</w:t>
      </w:r>
      <w:r>
        <w:rPr>
          <w:color w:val="auto"/>
          <w:highlight w:val="none"/>
        </w:rPr>
      </w:r>
    </w:p>
    <w:p>
      <w:pPr>
        <w:ind w:firstLine="480"/>
        <w:spacing w:line="288"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文件5、</w:t>
      </w:r>
      <w:r>
        <w:rPr>
          <w:rFonts w:hint="eastAsia" w:ascii="仿宋" w:hAnsi="仿宋" w:eastAsia="仿宋" w:cs="仿宋"/>
          <w:bCs/>
          <w:color w:val="auto"/>
          <w:sz w:val="24"/>
          <w:highlight w:val="none"/>
        </w:rPr>
        <w:t xml:space="preserve">投标人参加政府采购活动前3年内在经营活动中没有重大违法记录的书面声明（加盖电子签章，格式见招标文件第七章《投标文件相关格式》）；</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文件6、法人授权书（加盖电子签章）</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文件7、招标文件中规定要求提供的证明材料和投标人认为需要提供的其他材料。</w:t>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27"/>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rPr>
          <w:rFonts w:hint="eastAsia" w:ascii="仿宋" w:hAnsi="仿宋" w:cs="仿宋"/>
          <w:b/>
          <w:bCs/>
          <w:color w:val="auto"/>
          <w:szCs w:val="28"/>
          <w:highlight w:val="none"/>
        </w:rPr>
      </w:pPr>
      <w:r>
        <w:rPr>
          <w:rFonts w:hint="eastAsia" w:ascii="仿宋" w:hAnsi="仿宋" w:cs="仿宋"/>
          <w:b/>
          <w:bCs/>
          <w:color w:val="auto"/>
          <w:szCs w:val="28"/>
          <w:highlight w:val="none"/>
        </w:rPr>
        <w:br w:type="page" w:clear="all"/>
      </w:r>
      <w:r>
        <w:rPr>
          <w:color w:val="auto"/>
          <w:highlight w:val="none"/>
        </w:rPr>
      </w:r>
    </w:p>
    <w:p>
      <w:pPr>
        <w:pStyle w:val="1012"/>
        <w:rPr>
          <w:rFonts w:hint="eastAsia" w:ascii="仿宋" w:hAnsi="仿宋" w:cs="仿宋"/>
          <w:b/>
          <w:bCs/>
          <w:color w:val="auto"/>
          <w:szCs w:val="28"/>
          <w:highlight w:val="none"/>
        </w:rPr>
      </w:pPr>
      <w:r>
        <w:rPr>
          <w:rFonts w:hint="eastAsia" w:ascii="仿宋" w:hAnsi="仿宋" w:cs="仿宋"/>
          <w:b/>
          <w:bCs/>
          <w:color w:val="auto"/>
          <w:szCs w:val="28"/>
          <w:highlight w:val="none"/>
        </w:rPr>
      </w:r>
      <w:r>
        <w:rPr>
          <w:color w:val="auto"/>
          <w:highlight w:val="none"/>
        </w:rPr>
      </w:r>
    </w:p>
    <w:p>
      <w:pPr>
        <w:pStyle w:val="1012"/>
        <w:rPr>
          <w:rFonts w:hint="eastAsia" w:ascii="仿宋" w:hAnsi="仿宋" w:cs="仿宋"/>
          <w:b/>
          <w:bCs/>
          <w:color w:val="auto"/>
          <w:szCs w:val="28"/>
          <w:highlight w:val="none"/>
        </w:rPr>
      </w:pPr>
      <w:r>
        <w:rPr>
          <w:rFonts w:hint="eastAsia" w:ascii="仿宋" w:hAnsi="仿宋" w:cs="仿宋"/>
          <w:b/>
          <w:bCs/>
          <w:color w:val="auto"/>
          <w:szCs w:val="28"/>
          <w:highlight w:val="none"/>
        </w:rPr>
      </w:r>
      <w:r>
        <w:rPr>
          <w:color w:val="auto"/>
          <w:highlight w:val="none"/>
        </w:rPr>
      </w:r>
    </w:p>
    <w:p>
      <w:pPr>
        <w:pStyle w:val="1012"/>
        <w:rPr>
          <w:rFonts w:hint="eastAsia" w:ascii="仿宋" w:hAnsi="仿宋" w:cs="仿宋"/>
          <w:b/>
          <w:bCs/>
          <w:color w:val="auto"/>
          <w:szCs w:val="28"/>
          <w:highlight w:val="none"/>
        </w:rPr>
      </w:pPr>
      <w:r>
        <w:rPr>
          <w:rFonts w:hint="eastAsia" w:ascii="仿宋" w:hAnsi="仿宋" w:cs="仿宋"/>
          <w:b/>
          <w:bCs/>
          <w:color w:val="auto"/>
          <w:szCs w:val="28"/>
          <w:highlight w:val="none"/>
        </w:rPr>
      </w:r>
      <w:r>
        <w:rPr>
          <w:color w:val="auto"/>
          <w:highlight w:val="none"/>
        </w:rPr>
      </w:r>
    </w:p>
    <w:p>
      <w:pPr>
        <w:rPr>
          <w:rFonts w:hint="eastAsia"/>
          <w:color w:val="auto"/>
          <w:highlight w:val="none"/>
        </w:rPr>
      </w:pPr>
      <w:r>
        <w:rPr>
          <w:rFonts w:hint="eastAsia"/>
          <w:color w:val="auto"/>
          <w:highlight w:val="none"/>
        </w:rPr>
      </w:r>
      <w:r>
        <w:rPr>
          <w:color w:val="auto"/>
          <w:highlight w:val="none"/>
        </w:rPr>
      </w:r>
    </w:p>
    <w:p>
      <w:pPr>
        <w:pStyle w:val="1026"/>
        <w:ind w:left="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具备履行合同所必需的设备和专业技术能力的书面声明</w:t>
      </w:r>
      <w:r>
        <w:rPr>
          <w:color w:val="auto"/>
          <w:highlight w:val="none"/>
        </w:rPr>
      </w:r>
    </w:p>
    <w:p>
      <w:pPr>
        <w:ind w:firstLine="2160"/>
        <w:spacing w:line="500" w:lineRule="exact"/>
        <w:rPr>
          <w:rFonts w:hint="eastAsia" w:ascii="仿宋" w:hAnsi="仿宋" w:eastAsia="仿宋" w:cs="仿宋"/>
          <w:bCs/>
          <w:color w:val="auto"/>
          <w:highlight w:val="none"/>
          <w:u w:val="single"/>
        </w:rPr>
      </w:pPr>
      <w:r>
        <w:rPr>
          <w:rFonts w:hint="eastAsia" w:ascii="仿宋" w:hAnsi="仿宋" w:eastAsia="仿宋" w:cs="仿宋"/>
          <w:color w:val="auto"/>
          <w:highlight w:val="none"/>
        </w:rPr>
        <w:t xml:space="preserve">项目编号：</w:t>
      </w:r>
      <w:r>
        <w:rPr>
          <w:color w:val="auto"/>
          <w:highlight w:val="none"/>
        </w:rPr>
      </w:r>
    </w:p>
    <w:p>
      <w:pPr>
        <w:pStyle w:val="1020"/>
        <w:ind w:firstLine="480"/>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 ）郑重声明：</w:t>
      </w:r>
      <w:r>
        <w:rPr>
          <w:color w:val="auto"/>
          <w:highlight w:val="none"/>
        </w:rPr>
      </w:r>
    </w:p>
    <w:p>
      <w:pPr>
        <w:pStyle w:val="10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 ）具备履行合同（项目名称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）所必需的设备和专业技术能力。 </w:t>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10"/>
        <w:ind w:firstLine="420"/>
        <w:rPr>
          <w:rFonts w:hint="eastAsia" w:ascii="仿宋" w:hAnsi="仿宋" w:eastAsia="仿宋" w:cs="仿宋"/>
          <w:color w:val="auto"/>
          <w:highlight w:val="none"/>
        </w:rPr>
      </w:pPr>
      <w:r>
        <w:rPr>
          <w:rFonts w:hint="eastAsia" w:ascii="仿宋" w:hAnsi="仿宋" w:eastAsia="仿宋" w:cs="仿宋"/>
          <w:color w:val="auto"/>
          <w:highlight w:val="none"/>
        </w:rPr>
        <w:t xml:space="preserve">特此声明。</w:t>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highlight w:val="none"/>
        </w:rPr>
        <w:t xml:space="preserve">（供应商名称 ）对上述声明的真实性负责。如有虚假，将依法承担相应责任。</w:t>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27"/>
        <w:rPr>
          <w:rFonts w:hint="eastAsia"/>
          <w:color w:val="auto"/>
          <w:highlight w:val="none"/>
        </w:rPr>
      </w:pPr>
      <w:r>
        <w:rPr>
          <w:rFonts w:hint="eastAsia"/>
          <w:color w:val="auto"/>
          <w:highlight w:val="none"/>
        </w:rPr>
      </w:r>
      <w:r>
        <w:rPr>
          <w:color w:val="auto"/>
          <w:highlight w:val="none"/>
        </w:rP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参加政府采购活动前 3 年内在经营活动中没有重大违法记录的书面声明</w:t>
      </w:r>
      <w:r>
        <w:rPr>
          <w:color w:val="auto"/>
          <w:highlight w:val="none"/>
        </w:rPr>
      </w:r>
    </w:p>
    <w:p>
      <w:pPr>
        <w:jc w:val="center"/>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投标人名称（公章）：                 </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 xml:space="preserve">日期：    年   月   日</w:t>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rPr>
          <w:rFonts w:hint="eastAsia"/>
          <w:b/>
          <w:bCs/>
          <w:color w:val="auto"/>
          <w:sz w:val="44"/>
          <w:szCs w:val="52"/>
          <w:highlight w:val="none"/>
        </w:rPr>
      </w:pPr>
      <w:r>
        <w:rPr>
          <w:rFonts w:hint="eastAsia"/>
          <w:b/>
          <w:bCs/>
          <w:color w:val="auto"/>
          <w:sz w:val="44"/>
          <w:szCs w:val="52"/>
          <w:highlight w:val="none"/>
        </w:rPr>
        <w:br w:type="page" w:clear="all"/>
      </w:r>
      <w:r>
        <w:rPr>
          <w:color w:val="auto"/>
          <w:highlight w:val="none"/>
        </w:rPr>
      </w:r>
    </w:p>
    <w:p>
      <w:pPr>
        <w:pStyle w:val="1028"/>
        <w:rPr>
          <w:rFonts w:hint="eastAsia"/>
          <w:color w:val="auto"/>
          <w:highlight w:val="none"/>
        </w:rPr>
      </w:pPr>
      <w:r>
        <w:rPr>
          <w:rFonts w:hint="eastAsia"/>
          <w:color w:val="auto"/>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法人授权委托书</w:t>
      </w:r>
      <w:r>
        <w:rPr>
          <w:color w:val="auto"/>
          <w:highlight w:val="none"/>
        </w:rPr>
      </w:r>
    </w:p>
    <w:p>
      <w:pPr>
        <w:pStyle w:val="1030"/>
        <w:ind w:firstLine="420"/>
        <w:spacing w:line="440" w:lineRule="exact"/>
        <w:rPr>
          <w:rFonts w:hint="eastAsia" w:ascii="仿宋" w:hAnsi="仿宋" w:eastAsia="仿宋" w:cs="仿宋"/>
          <w:color w:val="auto"/>
          <w:spacing w:val="-9"/>
          <w:highlight w:val="none"/>
        </w:rPr>
      </w:pPr>
      <w:r>
        <w:rPr>
          <w:rFonts w:hint="eastAsia" w:ascii="仿宋" w:hAnsi="仿宋" w:eastAsia="仿宋" w:cs="仿宋"/>
          <w:color w:val="auto"/>
          <w:highlight w:val="none"/>
        </w:rPr>
        <w:t xml:space="preserve">委托人（全称</w:t>
      </w:r>
      <w:r>
        <w:rPr>
          <w:rFonts w:hint="eastAsia" w:ascii="仿宋" w:hAnsi="仿宋" w:eastAsia="仿宋" w:cs="仿宋"/>
          <w:color w:val="auto"/>
          <w:spacing w:val="-129"/>
          <w:highlight w:val="none"/>
        </w:rPr>
        <w:t xml:space="preserve">）</w:t>
      </w:r>
      <w:r>
        <w:rPr>
          <w:rFonts w:hint="eastAsia" w:ascii="仿宋" w:hAnsi="仿宋" w:eastAsia="仿宋" w:cs="仿宋"/>
          <w:color w:val="auto"/>
          <w:spacing w:val="-9"/>
          <w:highlight w:val="none"/>
        </w:rPr>
        <w:t xml:space="preserve">：</w:t>
      </w:r>
      <w:r>
        <w:rPr>
          <w:color w:val="auto"/>
          <w:highlight w:val="none"/>
        </w:rPr>
      </w:r>
    </w:p>
    <w:p>
      <w:pPr>
        <w:pStyle w:val="1030"/>
        <w:ind w:firstLine="42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地</w:t>
      </w:r>
      <w:r>
        <w:rPr>
          <w:rFonts w:hint="eastAsia" w:ascii="仿宋" w:hAnsi="仿宋" w:eastAsia="仿宋" w:cs="仿宋"/>
          <w:color w:val="auto"/>
          <w:highlight w:val="none"/>
        </w:rPr>
        <w:tab/>
      </w:r>
      <w:r>
        <w:rPr>
          <w:rFonts w:hint="eastAsia" w:ascii="仿宋" w:hAnsi="仿宋" w:eastAsia="仿宋" w:cs="仿宋"/>
          <w:color w:val="auto"/>
          <w:highlight w:val="none"/>
        </w:rPr>
        <w:t xml:space="preserve">址：</w:t>
      </w:r>
      <w:r>
        <w:rPr>
          <w:color w:val="auto"/>
          <w:highlight w:val="none"/>
        </w:rPr>
      </w:r>
    </w:p>
    <w:p>
      <w:pPr>
        <w:pStyle w:val="1030"/>
        <w:ind w:firstLine="42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w:t>
      </w:r>
      <w:r>
        <w:rPr>
          <w:color w:val="auto"/>
          <w:highlight w:val="none"/>
        </w:rPr>
      </w:r>
    </w:p>
    <w:p>
      <w:pPr>
        <w:pStyle w:val="1030"/>
        <w:ind w:firstLine="42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统一社会信用代码：</w:t>
      </w:r>
      <w:r>
        <w:rPr>
          <w:color w:val="auto"/>
          <w:highlight w:val="none"/>
        </w:rPr>
      </w:r>
    </w:p>
    <w:p>
      <w:pPr>
        <w:pStyle w:val="1030"/>
        <w:ind w:firstLine="42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30"/>
        <w:ind w:firstLine="420"/>
        <w:spacing w:line="440" w:lineRule="exact"/>
        <w:rPr>
          <w:rFonts w:hint="eastAsia" w:ascii="仿宋" w:hAnsi="仿宋" w:eastAsia="仿宋" w:cs="仿宋"/>
          <w:color w:val="auto"/>
          <w:spacing w:val="-17"/>
          <w:highlight w:val="none"/>
        </w:rPr>
      </w:pPr>
      <w:r>
        <w:rPr>
          <w:rFonts w:hint="eastAsia" w:ascii="仿宋" w:hAnsi="仿宋" w:eastAsia="仿宋" w:cs="仿宋"/>
          <w:color w:val="auto"/>
          <w:highlight w:val="none"/>
        </w:rPr>
        <w:t xml:space="preserve">受托人：</w:t>
      </w:r>
      <w:r>
        <w:rPr>
          <w:rFonts w:hint="eastAsia" w:ascii="仿宋" w:hAnsi="仿宋" w:eastAsia="仿宋" w:cs="仿宋"/>
          <w:color w:val="auto"/>
          <w:highlight w:val="none"/>
        </w:rPr>
        <w:tab/>
      </w:r>
      <w:r>
        <w:rPr>
          <w:rFonts w:hint="eastAsia" w:ascii="仿宋" w:hAnsi="仿宋" w:eastAsia="仿宋" w:cs="仿宋"/>
          <w:color w:val="auto"/>
          <w:highlight w:val="none"/>
        </w:rPr>
        <w:t xml:space="preserve">       先生（女士</w:t>
      </w:r>
      <w:r>
        <w:rPr>
          <w:rFonts w:hint="eastAsia" w:ascii="仿宋" w:hAnsi="仿宋" w:eastAsia="仿宋" w:cs="仿宋"/>
          <w:color w:val="auto"/>
          <w:spacing w:val="-17"/>
          <w:highlight w:val="none"/>
        </w:rPr>
        <w:t xml:space="preserve">）</w:t>
      </w:r>
      <w:r>
        <w:rPr>
          <w:color w:val="auto"/>
          <w:highlight w:val="none"/>
        </w:rPr>
      </w:r>
    </w:p>
    <w:p>
      <w:pPr>
        <w:pStyle w:val="1030"/>
        <w:ind w:firstLine="42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身份证号：   </w:t>
      </w:r>
      <w:r>
        <w:rPr>
          <w:color w:val="auto"/>
          <w:highlight w:val="none"/>
        </w:rPr>
      </w:r>
    </w:p>
    <w:p>
      <w:pPr>
        <w:pStyle w:val="1030"/>
        <w:ind w:firstLine="619"/>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30"/>
        <w:ind w:firstLine="42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兹委</w:t>
      </w:r>
      <w:r>
        <w:rPr>
          <w:rFonts w:hint="eastAsia" w:ascii="仿宋" w:hAnsi="仿宋" w:eastAsia="仿宋" w:cs="仿宋"/>
          <w:color w:val="auto"/>
          <w:spacing w:val="-17"/>
          <w:highlight w:val="none"/>
        </w:rPr>
        <w:t xml:space="preserve">托</w:t>
      </w:r>
      <w:r>
        <w:rPr>
          <w:rFonts w:hint="eastAsia" w:ascii="仿宋" w:hAnsi="仿宋" w:eastAsia="仿宋" w:cs="仿宋"/>
          <w:color w:val="auto"/>
          <w:highlight w:val="none"/>
        </w:rPr>
        <w:t xml:space="preserve">（</w:t>
      </w:r>
      <w:r>
        <w:rPr>
          <w:rFonts w:hint="eastAsia" w:ascii="仿宋" w:hAnsi="仿宋" w:eastAsia="仿宋" w:cs="仿宋"/>
          <w:color w:val="auto"/>
          <w:highlight w:val="none"/>
        </w:rPr>
        <w:tab/>
      </w:r>
      <w:r>
        <w:rPr>
          <w:rFonts w:hint="eastAsia" w:ascii="仿宋" w:hAnsi="仿宋" w:eastAsia="仿宋" w:cs="仿宋"/>
          <w:color w:val="auto"/>
          <w:highlight w:val="none"/>
        </w:rPr>
        <w:t xml:space="preserve">         </w:t>
      </w:r>
      <w:r>
        <w:rPr>
          <w:rFonts w:hint="eastAsia" w:ascii="仿宋" w:hAnsi="仿宋" w:eastAsia="仿宋" w:cs="仿宋"/>
          <w:color w:val="auto"/>
          <w:spacing w:val="-17"/>
          <w:highlight w:val="none"/>
        </w:rPr>
        <w:t xml:space="preserve">）</w:t>
      </w:r>
      <w:r>
        <w:rPr>
          <w:rFonts w:hint="eastAsia" w:ascii="仿宋" w:hAnsi="仿宋" w:eastAsia="仿宋" w:cs="仿宋"/>
          <w:color w:val="auto"/>
          <w:highlight w:val="none"/>
        </w:rPr>
        <w:t xml:space="preserve">全权代表我企</w:t>
      </w:r>
      <w:r>
        <w:rPr>
          <w:rFonts w:hint="eastAsia" w:ascii="仿宋" w:hAnsi="仿宋" w:eastAsia="仿宋" w:cs="仿宋"/>
          <w:color w:val="auto"/>
          <w:spacing w:val="-17"/>
          <w:highlight w:val="none"/>
        </w:rPr>
        <w:t xml:space="preserve">业</w:t>
      </w:r>
      <w:r>
        <w:rPr>
          <w:rFonts w:hint="eastAsia" w:ascii="仿宋" w:hAnsi="仿宋" w:eastAsia="仿宋" w:cs="仿宋"/>
          <w:color w:val="auto"/>
          <w:highlight w:val="none"/>
        </w:rPr>
        <w:t xml:space="preserve">（公司</w:t>
      </w:r>
      <w:r>
        <w:rPr>
          <w:rFonts w:hint="eastAsia" w:ascii="仿宋" w:hAnsi="仿宋" w:eastAsia="仿宋" w:cs="仿宋"/>
          <w:color w:val="auto"/>
          <w:spacing w:val="-17"/>
          <w:highlight w:val="none"/>
        </w:rPr>
        <w:t xml:space="preserve">）</w:t>
      </w:r>
      <w:r>
        <w:rPr>
          <w:rFonts w:hint="eastAsia" w:ascii="仿宋" w:hAnsi="仿宋" w:eastAsia="仿宋" w:cs="仿宋"/>
          <w:color w:val="auto"/>
          <w:highlight w:val="none"/>
        </w:rPr>
        <w:t xml:space="preserve">参与</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项目（</w:t>
      </w:r>
      <w:r>
        <w:rPr>
          <w:rFonts w:hint="eastAsia" w:ascii="仿宋" w:hAnsi="仿宋" w:eastAsia="仿宋" w:cs="仿宋"/>
          <w:color w:val="auto"/>
          <w:spacing w:val="-16"/>
          <w:highlight w:val="none"/>
        </w:rPr>
        <w:t xml:space="preserve">项</w:t>
      </w:r>
      <w:r>
        <w:rPr>
          <w:rFonts w:hint="eastAsia" w:ascii="仿宋" w:hAnsi="仿宋" w:eastAsia="仿宋" w:cs="仿宋"/>
          <w:color w:val="auto"/>
          <w:highlight w:val="none"/>
        </w:rPr>
        <w:t xml:space="preserve">目编号</w:t>
      </w:r>
      <w:r>
        <w:rPr>
          <w:rFonts w:hint="eastAsia" w:ascii="仿宋" w:hAnsi="仿宋" w:eastAsia="仿宋" w:cs="仿宋"/>
          <w:color w:val="auto"/>
          <w:spacing w:val="-44"/>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spacing w:val="-5"/>
          <w:highlight w:val="none"/>
        </w:rPr>
        <w:t xml:space="preserve">）</w:t>
      </w:r>
      <w:r>
        <w:rPr>
          <w:rFonts w:hint="eastAsia" w:ascii="仿宋" w:hAnsi="仿宋" w:eastAsia="仿宋" w:cs="仿宋"/>
          <w:color w:val="auto"/>
          <w:highlight w:val="none"/>
        </w:rPr>
        <w:t xml:space="preserve">的询价活动及签订合同</w:t>
      </w:r>
      <w:r>
        <w:rPr>
          <w:rFonts w:hint="eastAsia" w:ascii="仿宋" w:hAnsi="仿宋" w:eastAsia="仿宋" w:cs="仿宋"/>
          <w:color w:val="auto"/>
          <w:spacing w:val="-164"/>
          <w:highlight w:val="none"/>
        </w:rPr>
        <w:t xml:space="preserve">。</w:t>
      </w:r>
      <w:r>
        <w:rPr>
          <w:rFonts w:hint="eastAsia" w:ascii="仿宋" w:hAnsi="仿宋" w:eastAsia="仿宋" w:cs="仿宋"/>
          <w:color w:val="auto"/>
          <w:highlight w:val="none"/>
        </w:rPr>
        <w:t xml:space="preserve">（      </w:t>
      </w:r>
      <w:r>
        <w:rPr>
          <w:rFonts w:hint="eastAsia" w:ascii="仿宋" w:hAnsi="仿宋" w:eastAsia="仿宋" w:cs="仿宋"/>
          <w:color w:val="auto"/>
          <w:spacing w:val="-44"/>
          <w:highlight w:val="none"/>
        </w:rPr>
        <w:t xml:space="preserve">）</w:t>
      </w:r>
      <w:r>
        <w:rPr>
          <w:rFonts w:hint="eastAsia" w:ascii="仿宋" w:hAnsi="仿宋" w:eastAsia="仿宋" w:cs="仿宋"/>
          <w:color w:val="auto"/>
          <w:highlight w:val="none"/>
        </w:rPr>
        <w:t xml:space="preserve">以我企</w:t>
      </w:r>
      <w:r>
        <w:rPr>
          <w:rFonts w:hint="eastAsia" w:ascii="仿宋" w:hAnsi="仿宋" w:eastAsia="仿宋" w:cs="仿宋"/>
          <w:color w:val="auto"/>
          <w:spacing w:val="-44"/>
          <w:highlight w:val="none"/>
        </w:rPr>
        <w:t xml:space="preserve">业</w:t>
      </w:r>
      <w:r>
        <w:rPr>
          <w:rFonts w:hint="eastAsia" w:ascii="仿宋" w:hAnsi="仿宋" w:eastAsia="仿宋" w:cs="仿宋"/>
          <w:color w:val="auto"/>
          <w:highlight w:val="none"/>
        </w:rPr>
        <w:t xml:space="preserve">（</w:t>
      </w:r>
      <w:r>
        <w:rPr>
          <w:rFonts w:hint="eastAsia" w:ascii="仿宋" w:hAnsi="仿宋" w:eastAsia="仿宋" w:cs="仿宋"/>
          <w:color w:val="auto"/>
          <w:spacing w:val="-12"/>
          <w:highlight w:val="none"/>
        </w:rPr>
        <w:t xml:space="preserve">公</w:t>
      </w:r>
      <w:r>
        <w:rPr>
          <w:rFonts w:hint="eastAsia" w:ascii="仿宋" w:hAnsi="仿宋" w:eastAsia="仿宋" w:cs="仿宋"/>
          <w:color w:val="auto"/>
          <w:highlight w:val="none"/>
        </w:rPr>
        <w:t xml:space="preserve">司</w:t>
      </w:r>
      <w:r>
        <w:rPr>
          <w:rFonts w:hint="eastAsia" w:ascii="仿宋" w:hAnsi="仿宋" w:eastAsia="仿宋" w:cs="仿宋"/>
          <w:color w:val="auto"/>
          <w:spacing w:val="-20"/>
          <w:highlight w:val="none"/>
        </w:rPr>
        <w:t xml:space="preserve">）</w:t>
      </w:r>
      <w:r>
        <w:rPr>
          <w:rFonts w:hint="eastAsia" w:ascii="仿宋" w:hAnsi="仿宋" w:eastAsia="仿宋" w:cs="仿宋"/>
          <w:color w:val="auto"/>
          <w:highlight w:val="none"/>
        </w:rPr>
        <w:t xml:space="preserve">名义所为的行为及签署的文件</w:t>
      </w:r>
      <w:r>
        <w:rPr>
          <w:rFonts w:hint="eastAsia" w:ascii="仿宋" w:hAnsi="仿宋" w:eastAsia="仿宋" w:cs="仿宋"/>
          <w:color w:val="auto"/>
          <w:spacing w:val="-20"/>
          <w:highlight w:val="none"/>
        </w:rPr>
        <w:t xml:space="preserve">，</w:t>
      </w:r>
      <w:r>
        <w:rPr>
          <w:rFonts w:hint="eastAsia" w:ascii="仿宋" w:hAnsi="仿宋" w:eastAsia="仿宋" w:cs="仿宋"/>
          <w:color w:val="auto"/>
          <w:highlight w:val="none"/>
        </w:rPr>
        <w:t xml:space="preserve">我企</w:t>
      </w:r>
      <w:r>
        <w:rPr>
          <w:rFonts w:hint="eastAsia" w:ascii="仿宋" w:hAnsi="仿宋" w:eastAsia="仿宋" w:cs="仿宋"/>
          <w:color w:val="auto"/>
          <w:spacing w:val="-20"/>
          <w:highlight w:val="none"/>
        </w:rPr>
        <w:t xml:space="preserve">业</w:t>
      </w:r>
      <w:r>
        <w:rPr>
          <w:rFonts w:hint="eastAsia" w:ascii="仿宋" w:hAnsi="仿宋" w:eastAsia="仿宋" w:cs="仿宋"/>
          <w:color w:val="auto"/>
          <w:highlight w:val="none"/>
        </w:rPr>
        <w:t xml:space="preserve">（公司</w:t>
      </w:r>
      <w:r>
        <w:rPr>
          <w:rFonts w:hint="eastAsia" w:ascii="仿宋" w:hAnsi="仿宋" w:eastAsia="仿宋" w:cs="仿宋"/>
          <w:color w:val="auto"/>
          <w:spacing w:val="-20"/>
          <w:highlight w:val="none"/>
        </w:rPr>
        <w:t xml:space="preserve">）</w:t>
      </w:r>
      <w:r>
        <w:rPr>
          <w:rFonts w:hint="eastAsia" w:ascii="仿宋" w:hAnsi="仿宋" w:eastAsia="仿宋" w:cs="仿宋"/>
          <w:color w:val="auto"/>
          <w:highlight w:val="none"/>
        </w:rPr>
        <w:t xml:space="preserve">均予以认可</w:t>
      </w:r>
      <w:r>
        <w:rPr>
          <w:rFonts w:hint="eastAsia" w:ascii="仿宋" w:hAnsi="仿宋" w:eastAsia="仿宋" w:cs="仿宋"/>
          <w:color w:val="auto"/>
          <w:spacing w:val="-20"/>
          <w:highlight w:val="none"/>
        </w:rPr>
        <w:t xml:space="preserve">。</w:t>
      </w:r>
      <w:r>
        <w:rPr>
          <w:rFonts w:hint="eastAsia" w:ascii="仿宋" w:hAnsi="仿宋" w:eastAsia="仿宋" w:cs="仿宋"/>
          <w:color w:val="auto"/>
          <w:highlight w:val="none"/>
        </w:rPr>
        <w:t xml:space="preserve">有关法律责</w:t>
      </w:r>
      <w:r>
        <w:rPr>
          <w:rFonts w:hint="eastAsia" w:ascii="仿宋" w:hAnsi="仿宋" w:eastAsia="仿宋" w:cs="仿宋"/>
          <w:color w:val="auto"/>
          <w:spacing w:val="-12"/>
          <w:highlight w:val="none"/>
        </w:rPr>
        <w:t xml:space="preserve">任</w:t>
      </w:r>
      <w:r>
        <w:rPr>
          <w:rFonts w:hint="eastAsia" w:ascii="仿宋" w:hAnsi="仿宋" w:eastAsia="仿宋" w:cs="仿宋"/>
          <w:color w:val="auto"/>
          <w:highlight w:val="none"/>
        </w:rPr>
        <w:t xml:space="preserve">均由我企</w:t>
      </w:r>
      <w:r>
        <w:rPr>
          <w:rFonts w:hint="eastAsia" w:ascii="仿宋" w:hAnsi="仿宋" w:eastAsia="仿宋" w:cs="仿宋"/>
          <w:color w:val="auto"/>
          <w:spacing w:val="-44"/>
          <w:highlight w:val="none"/>
        </w:rPr>
        <w:t xml:space="preserve">业</w:t>
      </w:r>
      <w:r>
        <w:rPr>
          <w:rFonts w:hint="eastAsia" w:ascii="仿宋" w:hAnsi="仿宋" w:eastAsia="仿宋" w:cs="仿宋"/>
          <w:color w:val="auto"/>
          <w:highlight w:val="none"/>
        </w:rPr>
        <w:t xml:space="preserve">（公司</w:t>
      </w:r>
      <w:r>
        <w:rPr>
          <w:rFonts w:hint="eastAsia" w:ascii="仿宋" w:hAnsi="仿宋" w:eastAsia="仿宋" w:cs="仿宋"/>
          <w:color w:val="auto"/>
          <w:spacing w:val="-44"/>
          <w:highlight w:val="none"/>
        </w:rPr>
        <w:t xml:space="preserve">）</w:t>
      </w:r>
      <w:r>
        <w:rPr>
          <w:rFonts w:hint="eastAsia" w:ascii="仿宋" w:hAnsi="仿宋" w:eastAsia="仿宋" w:cs="仿宋"/>
          <w:color w:val="auto"/>
          <w:highlight w:val="none"/>
        </w:rPr>
        <w:t xml:space="preserve">承担</w:t>
      </w:r>
      <w:r>
        <w:rPr>
          <w:rFonts w:hint="eastAsia" w:ascii="仿宋" w:hAnsi="仿宋" w:eastAsia="仿宋" w:cs="仿宋"/>
          <w:color w:val="auto"/>
          <w:spacing w:val="-164"/>
          <w:highlight w:val="none"/>
        </w:rPr>
        <w:t xml:space="preserve">。</w:t>
      </w:r>
      <w:r>
        <w:rPr>
          <w:rFonts w:hint="eastAsia" w:ascii="仿宋" w:hAnsi="仿宋" w:eastAsia="仿宋" w:cs="仿宋"/>
          <w:color w:val="auto"/>
          <w:highlight w:val="none"/>
        </w:rPr>
        <w:t xml:space="preserve">（     </w:t>
      </w:r>
      <w:r>
        <w:rPr>
          <w:rFonts w:hint="eastAsia" w:ascii="仿宋" w:hAnsi="仿宋" w:eastAsia="仿宋" w:cs="仿宋"/>
          <w:color w:val="auto"/>
          <w:spacing w:val="-44"/>
          <w:highlight w:val="none"/>
        </w:rPr>
        <w:t xml:space="preserve">）</w:t>
      </w:r>
      <w:r>
        <w:rPr>
          <w:rFonts w:hint="eastAsia" w:ascii="仿宋" w:hAnsi="仿宋" w:eastAsia="仿宋" w:cs="仿宋"/>
          <w:color w:val="auto"/>
          <w:highlight w:val="none"/>
        </w:rPr>
        <w:t xml:space="preserve">无转委托权</w:t>
      </w:r>
      <w:r>
        <w:rPr>
          <w:rFonts w:hint="eastAsia" w:ascii="仿宋" w:hAnsi="仿宋" w:eastAsia="仿宋" w:cs="仿宋"/>
          <w:color w:val="auto"/>
          <w:spacing w:val="-44"/>
          <w:highlight w:val="none"/>
        </w:rPr>
        <w:t xml:space="preserve">。</w:t>
      </w:r>
      <w:r>
        <w:rPr>
          <w:rFonts w:hint="eastAsia" w:ascii="仿宋" w:hAnsi="仿宋" w:eastAsia="仿宋" w:cs="仿宋"/>
          <w:color w:val="auto"/>
          <w:highlight w:val="none"/>
        </w:rPr>
        <w:t xml:space="preserve">委托期限自202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 </w:t>
      </w:r>
      <w:r>
        <w:rPr>
          <w:rFonts w:hint="eastAsia" w:ascii="仿宋" w:hAnsi="仿宋" w:eastAsia="仿宋" w:cs="仿宋"/>
          <w:color w:val="auto"/>
          <w:spacing w:val="-12"/>
          <w:highlight w:val="none"/>
        </w:rPr>
        <w:t xml:space="preserve">月   </w:t>
      </w:r>
      <w:r>
        <w:rPr>
          <w:rFonts w:hint="eastAsia" w:ascii="仿宋" w:hAnsi="仿宋" w:eastAsia="仿宋" w:cs="仿宋"/>
          <w:color w:val="auto"/>
          <w:highlight w:val="none"/>
        </w:rPr>
        <w:t xml:space="preserve">日起至202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   月    日   止。</w:t>
      </w:r>
      <w:r>
        <w:rPr>
          <w:color w:val="auto"/>
          <w:highlight w:val="none"/>
        </w:rPr>
      </w:r>
    </w:p>
    <w:p>
      <w:pPr>
        <w:pStyle w:val="1030"/>
        <w:ind w:firstLine="42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30"/>
        <w:ind w:right="1354" w:firstLine="420"/>
        <w:jc w:val="right"/>
        <w:spacing w:line="440" w:lineRule="exact"/>
        <w:rPr>
          <w:rFonts w:hint="eastAsia" w:ascii="仿宋" w:hAnsi="仿宋" w:eastAsia="仿宋" w:cs="仿宋"/>
          <w:color w:val="auto"/>
          <w:sz w:val="29"/>
          <w:highlight w:val="none"/>
        </w:rPr>
      </w:pPr>
      <w:r>
        <w:rPr>
          <w:rFonts w:hint="eastAsia" w:ascii="仿宋" w:hAnsi="仿宋" w:eastAsia="仿宋" w:cs="仿宋"/>
          <w:color w:val="auto"/>
          <w:highlight w:val="none"/>
        </w:rPr>
        <w:t xml:space="preserve">委托人（公章</w:t>
      </w:r>
      <w:r>
        <w:rPr>
          <w:rFonts w:hint="eastAsia" w:ascii="仿宋" w:hAnsi="仿宋" w:eastAsia="仿宋" w:cs="仿宋"/>
          <w:color w:val="auto"/>
          <w:spacing w:val="-120"/>
          <w:highlight w:val="none"/>
        </w:rPr>
        <w:t xml:space="preserve">）</w:t>
      </w:r>
      <w:r>
        <w:rPr>
          <w:rFonts w:hint="eastAsia" w:ascii="仿宋" w:hAnsi="仿宋" w:eastAsia="仿宋" w:cs="仿宋"/>
          <w:color w:val="auto"/>
          <w:highlight w:val="none"/>
        </w:rPr>
        <w:t xml:space="preserve">：</w:t>
      </w:r>
      <w:r>
        <w:rPr>
          <w:color w:val="auto"/>
          <w:highlight w:val="none"/>
        </w:rPr>
      </w:r>
    </w:p>
    <w:p>
      <w:pPr>
        <w:pStyle w:val="1030"/>
        <w:ind w:right="1354" w:firstLine="420"/>
        <w:jc w:val="right"/>
        <w:spacing w:line="440" w:lineRule="exact"/>
        <w:rPr>
          <w:rFonts w:hint="eastAsia" w:ascii="仿宋" w:hAnsi="仿宋" w:eastAsia="仿宋" w:cs="仿宋"/>
          <w:color w:val="auto"/>
          <w:sz w:val="30"/>
          <w:highlight w:val="none"/>
        </w:rPr>
      </w:pPr>
      <w:r>
        <w:rPr>
          <w:rFonts w:hint="eastAsia" w:ascii="仿宋" w:hAnsi="仿宋" w:eastAsia="仿宋" w:cs="仿宋"/>
          <w:color w:val="auto"/>
          <w:highlight w:val="none"/>
        </w:rPr>
        <w:t xml:space="preserve">法定代表人（签字</w:t>
      </w:r>
      <w:r>
        <w:rPr>
          <w:rFonts w:hint="eastAsia" w:ascii="仿宋" w:hAnsi="仿宋" w:eastAsia="仿宋" w:cs="仿宋"/>
          <w:color w:val="auto"/>
          <w:spacing w:val="-120"/>
          <w:highlight w:val="none"/>
        </w:rPr>
        <w:t xml:space="preserve">）</w:t>
      </w:r>
      <w:r>
        <w:rPr>
          <w:rFonts w:hint="eastAsia" w:ascii="仿宋" w:hAnsi="仿宋" w:eastAsia="仿宋" w:cs="仿宋"/>
          <w:color w:val="auto"/>
          <w:highlight w:val="none"/>
        </w:rPr>
        <w:t xml:space="preserve">：</w:t>
      </w:r>
      <w:r>
        <w:rPr>
          <w:color w:val="auto"/>
          <w:highlight w:val="none"/>
        </w:rPr>
      </w:r>
    </w:p>
    <w:p>
      <w:pPr>
        <w:pStyle w:val="1030"/>
        <w:ind w:right="1354" w:firstLine="420"/>
        <w:jc w:val="right"/>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受托人（签字</w:t>
      </w:r>
      <w:r>
        <w:rPr>
          <w:rFonts w:hint="eastAsia" w:ascii="仿宋" w:hAnsi="仿宋" w:eastAsia="仿宋" w:cs="仿宋"/>
          <w:color w:val="auto"/>
          <w:spacing w:val="-120"/>
          <w:highlight w:val="none"/>
        </w:rPr>
        <w:t xml:space="preserve">）</w:t>
      </w:r>
      <w:r>
        <w:rPr>
          <w:rFonts w:hint="eastAsia" w:ascii="仿宋" w:hAnsi="仿宋" w:eastAsia="仿宋" w:cs="仿宋"/>
          <w:color w:val="auto"/>
          <w:highlight w:val="none"/>
        </w:rPr>
        <w:t xml:space="preserve">：</w:t>
      </w:r>
      <w:r>
        <w:rPr>
          <w:color w:val="auto"/>
          <w:highlight w:val="none"/>
        </w:rPr>
      </w:r>
    </w:p>
    <w:p>
      <w:pPr>
        <w:pStyle w:val="1030"/>
        <w:ind w:right="1354" w:firstLine="420"/>
        <w:jc w:val="right"/>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年</w:t>
      </w:r>
      <w:r>
        <w:rPr>
          <w:rFonts w:hint="eastAsia" w:ascii="仿宋" w:hAnsi="仿宋" w:eastAsia="仿宋" w:cs="仿宋"/>
          <w:color w:val="auto"/>
          <w:highlight w:val="none"/>
        </w:rPr>
        <w:tab/>
      </w:r>
      <w:r>
        <w:rPr>
          <w:rFonts w:hint="eastAsia" w:ascii="仿宋" w:hAnsi="仿宋" w:eastAsia="仿宋" w:cs="仿宋"/>
          <w:color w:val="auto"/>
          <w:highlight w:val="none"/>
        </w:rPr>
        <w:t xml:space="preserve">    月      日</w:t>
      </w:r>
      <w:r>
        <w:rPr>
          <w:color w:val="auto"/>
          <w:highlight w:val="none"/>
        </w:rPr>
      </w:r>
    </w:p>
    <w:p>
      <w:pPr>
        <w:pStyle w:val="1030"/>
        <w:ind w:firstLine="500"/>
        <w:spacing w:line="440" w:lineRule="exact"/>
        <w:rPr>
          <w:rFonts w:hint="eastAsia" w:ascii="仿宋" w:hAnsi="仿宋" w:eastAsia="仿宋" w:cs="仿宋"/>
          <w:color w:val="auto"/>
          <w:sz w:val="25"/>
          <w:highlight w:val="none"/>
        </w:rPr>
      </w:pPr>
      <w:r>
        <w:rPr>
          <w:rFonts w:hint="eastAsia" w:ascii="仿宋" w:hAnsi="仿宋" w:eastAsia="仿宋" w:cs="仿宋"/>
          <w:color w:val="auto"/>
          <w:sz w:val="25"/>
          <w:highlight w:val="none"/>
        </w:rPr>
      </w:r>
      <w:r>
        <w:rPr>
          <w:color w:val="auto"/>
          <w:highlight w:val="none"/>
        </w:rPr>
      </w:r>
    </w:p>
    <w:p>
      <w:pPr>
        <w:pStyle w:val="1030"/>
        <w:ind w:firstLine="42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（法定代表人及受托人身份证复印件附后）</w:t>
      </w:r>
      <w:r>
        <w:rPr>
          <w:color w:val="auto"/>
          <w:highlight w:val="none"/>
        </w:rPr>
      </w:r>
    </w:p>
    <w:p>
      <w:pPr>
        <w:ind w:firstLine="420"/>
        <w:spacing w:line="400" w:lineRule="exact"/>
        <w:rPr>
          <w:rFonts w:hint="eastAsia" w:ascii="仿宋" w:hAnsi="仿宋" w:eastAsia="仿宋" w:cs="仿宋"/>
          <w:color w:val="auto"/>
          <w:highlight w:val="none"/>
        </w:rPr>
        <w:sectPr>
          <w:footnotePr/>
          <w:endnotePr/>
          <w:type w:val="nextPage"/>
          <w:pgSz w:w="11910" w:h="16840" w:orient="portrait"/>
          <w:pgMar w:top="1134" w:right="1134" w:bottom="1134" w:left="1134" w:header="720" w:footer="720" w:gutter="0"/>
          <w:cols w:num="1" w:sep="0" w:space="1701" w:equalWidth="1"/>
          <w:docGrid w:linePitch="360"/>
        </w:sectPr>
      </w:pPr>
      <w:r>
        <w:rPr>
          <w:rFonts w:hint="eastAsia" w:ascii="仿宋" w:hAnsi="仿宋" w:eastAsia="仿宋" w:cs="仿宋"/>
          <w:color w:val="auto"/>
          <w:highlight w:val="none"/>
        </w:rPr>
      </w:r>
      <w:r>
        <w:rPr>
          <w:color w:val="auto"/>
          <w:highlight w:val="none"/>
        </w:rPr>
      </w:r>
    </w:p>
    <w:p>
      <w:pPr>
        <w:jc w:val="center"/>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r>
      <w:r>
        <w:rPr>
          <w:color w:val="auto"/>
          <w:highlight w:val="none"/>
        </w:rPr>
      </w:r>
    </w:p>
    <w:p>
      <w:pPr>
        <w:jc w:val="center"/>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 xml:space="preserve">三、投标函格式</w:t>
      </w:r>
      <w:r>
        <w:rPr>
          <w:color w:val="auto"/>
          <w:highlight w:val="none"/>
        </w:rPr>
      </w:r>
    </w:p>
    <w:p>
      <w:pPr>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（采购人名称）</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根据贵方的（项目名称）招标文件，正式授权下述签字人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姓名）代表我方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（投标人名称），全权处理本次项目投标的有关事宜。</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据此函，签字人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兹宣布同意如下：</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1.按招标文件规定的各项要求，向买方提供所需货物与服务。</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2.我们完全理解贵方不一定将合同授予最低报价的投标人。</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3.我们已详细审核全部招标文件及其有效补充文件，我们知道必须放弃提出含糊不清或误解问题的权利。</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4.我们同意从规定的开标日期起遵循本投标文件，并在规定的投标有效期期满之前均具有约束力。</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5.如果在开标后规定的投标有效期内撤销投标或中标后拒绝签订合同，我们的投标保证金可不予退还。</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6.同意向贵方提供贵方可能另外要求的与投标有关的任何证据或资料，并保证我方已提供和将要提供的文件是真实的、准确的。</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7.一旦我方中标，我方将根据招标文件的规定，严格履行合同的责任和义务，并保证在招标文件规定的时间完成项目，交付买方验收、使用。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8.完全理解并接受招标文件中对中标服务费的规定。</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9.与本投标有关的正式通讯地址为：</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邮编：                 </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                         传真：                 </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投标人开户行：</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账户：</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投标人授权代表姓名（签字）：</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投标人名称（公章）：</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四、开标一览表</w:t>
      </w:r>
      <w:r>
        <w:rPr>
          <w:color w:val="auto"/>
          <w:highlight w:val="none"/>
        </w:rPr>
      </w:r>
    </w:p>
    <w:tbl>
      <w:tblPr>
        <w:tblStyle w:val="1004"/>
        <w:tblW w:w="8970"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3"/>
        <w:gridCol w:w="6747"/>
      </w:tblGrid>
      <w:tr>
        <w:trPr>
          <w:trHeight w:val="565"/>
        </w:trPr>
        <w:tc>
          <w:tcPr>
            <w:tcW w:w="2223"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color w:val="auto"/>
                <w:highlight w:val="none"/>
              </w:rPr>
            </w:r>
          </w:p>
        </w:tc>
        <w:tc>
          <w:tcPr>
            <w:tcW w:w="6747"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531"/>
        </w:trPr>
        <w:tc>
          <w:tcPr>
            <w:tcW w:w="2223"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p>
        </w:tc>
        <w:tc>
          <w:tcPr>
            <w:tcW w:w="6747"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906"/>
        </w:trPr>
        <w:tc>
          <w:tcPr>
            <w:gridSpan w:val="2"/>
            <w:tcW w:w="897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项目投标报价：人民币（大写）                        元整（￥           元）</w:t>
            </w:r>
            <w:r>
              <w:rPr>
                <w:color w:val="auto"/>
                <w:highlight w:val="none"/>
              </w:rPr>
            </w:r>
          </w:p>
        </w:tc>
      </w:tr>
      <w:tr>
        <w:trPr>
          <w:trHeight w:val="633"/>
        </w:trPr>
        <w:tc>
          <w:tcPr>
            <w:gridSpan w:val="2"/>
            <w:tcW w:w="897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项目实施时间（供期或工期）：</w:t>
            </w:r>
            <w:r>
              <w:rPr>
                <w:color w:val="auto"/>
                <w:highlight w:val="none"/>
              </w:rPr>
            </w:r>
          </w:p>
        </w:tc>
      </w:tr>
      <w:tr>
        <w:trPr>
          <w:trHeight w:val="609"/>
        </w:trPr>
        <w:tc>
          <w:tcPr>
            <w:gridSpan w:val="2"/>
            <w:tcW w:w="897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是否提供《企业类型声明函》：  是/否              见（）页</w:t>
            </w:r>
            <w:r>
              <w:rPr>
                <w:color w:val="auto"/>
                <w:highlight w:val="none"/>
              </w:rPr>
            </w:r>
          </w:p>
        </w:tc>
      </w:tr>
    </w:tbl>
    <w:p>
      <w:pPr>
        <w:pStyle w:val="1013"/>
        <w:ind w:firstLine="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填写说明：</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1、开标一览表不得填报选择性报价，否则将作为无效投标；</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2、开标一览表中报价与投标报价清单中不符时，以开标一览表为准；</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投标人（盖章）：                 </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法定代表人或授权代表（签字或盖章）：                 </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r>
        <w:rPr>
          <w:color w:val="auto"/>
          <w:highlight w:val="none"/>
        </w:rPr>
      </w:r>
    </w:p>
    <w:p>
      <w:pPr>
        <w:pStyle w:val="1013"/>
        <w:ind w:firstLine="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2"/>
        <w:rPr>
          <w:rFonts w:hint="eastAsia" w:ascii="仿宋" w:hAnsi="仿宋" w:cs="仿宋"/>
          <w:b/>
          <w:bCs/>
          <w:color w:val="auto"/>
          <w:szCs w:val="28"/>
          <w:highlight w:val="none"/>
        </w:rPr>
      </w:pPr>
      <w:r>
        <w:rPr>
          <w:rFonts w:hint="eastAsia" w:ascii="仿宋" w:hAnsi="仿宋" w:cs="仿宋"/>
          <w:b/>
          <w:bCs/>
          <w:color w:val="auto"/>
          <w:szCs w:val="28"/>
          <w:highlight w:val="none"/>
        </w:rPr>
      </w:r>
      <w:r>
        <w:rPr>
          <w:color w:val="auto"/>
          <w:highlight w:val="none"/>
        </w:rPr>
      </w:r>
    </w:p>
    <w:p>
      <w:pPr>
        <w:pStyle w:val="1012"/>
        <w:ind w:left="0" w:firstLine="0"/>
        <w:rPr>
          <w:rFonts w:hint="eastAsia" w:ascii="仿宋" w:hAnsi="仿宋" w:cs="仿宋"/>
          <w:b/>
          <w:bCs/>
          <w:color w:val="auto"/>
          <w:szCs w:val="28"/>
          <w:highlight w:val="none"/>
        </w:rPr>
      </w:pPr>
      <w:r>
        <w:rPr>
          <w:rFonts w:hint="eastAsia" w:ascii="仿宋" w:hAnsi="仿宋" w:cs="仿宋"/>
          <w:b/>
          <w:bCs/>
          <w:color w:val="auto"/>
          <w:szCs w:val="28"/>
          <w:highlight w:val="none"/>
        </w:rPr>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ind w:left="357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w:t>
      </w:r>
      <w:r>
        <w:rPr>
          <w:rFonts w:hint="eastAsia" w:ascii="仿宋" w:hAnsi="仿宋" w:eastAsia="仿宋" w:cs="仿宋"/>
          <w:b/>
          <w:bCs/>
          <w:color w:val="auto"/>
          <w:sz w:val="32"/>
          <w:szCs w:val="32"/>
          <w:highlight w:val="none"/>
        </w:rPr>
        <w:t xml:space="preserve">分项价格表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投标人全称：（加盖公章）</w:t>
      </w:r>
      <w:r>
        <w:rPr>
          <w:color w:val="auto"/>
          <w:highlight w:val="none"/>
        </w:rPr>
      </w:r>
    </w:p>
    <w:tbl>
      <w:tblPr>
        <w:tblStyle w:val="1004"/>
        <w:tblW w:w="9090" w:type="dxa"/>
        <w:tblInd w:w="-30" w:type="dxa"/>
        <w:tblLayout w:type="fixed"/>
        <w:tblCellMar>
          <w:left w:w="15" w:type="dxa"/>
          <w:top w:w="15" w:type="dxa"/>
          <w:right w:w="15" w:type="dxa"/>
          <w:bottom w:w="0" w:type="dxa"/>
        </w:tblCellMar>
        <w:tblLook w:val="04A0" w:firstRow="1" w:lastRow="0" w:firstColumn="1" w:lastColumn="0" w:noHBand="0" w:noVBand="1"/>
      </w:tblPr>
      <w:tblGrid>
        <w:gridCol w:w="630"/>
        <w:gridCol w:w="1731"/>
        <w:gridCol w:w="2304"/>
        <w:gridCol w:w="1170"/>
        <w:gridCol w:w="960"/>
        <w:gridCol w:w="1095"/>
        <w:gridCol w:w="1200"/>
      </w:tblGrid>
      <w:tr>
        <w:trPr>
          <w:trHeight w:val="7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0"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1"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04"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技术参数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70"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5"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rPr>
                <w:color w:val="auto"/>
                <w:highlight w:val="none"/>
              </w:rPr>
            </w:r>
          </w:p>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（元）</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合价</w:t>
            </w:r>
            <w:r>
              <w:rPr>
                <w:color w:val="auto"/>
                <w:highlight w:val="none"/>
              </w:rPr>
            </w:r>
          </w:p>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（元）</w:t>
            </w:r>
            <w:r>
              <w:rPr>
                <w:color w:val="auto"/>
                <w:highlight w:val="none"/>
              </w:rPr>
            </w:r>
          </w:p>
        </w:tc>
      </w:tr>
      <w:tr>
        <w:trPr>
          <w:trHeight w:val="7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1"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04"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7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5"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rHeight w:val="756"/>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1"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 计</w:t>
            </w:r>
            <w:r>
              <w:rPr>
                <w:color w:val="auto"/>
                <w:highlight w:val="none"/>
              </w:rP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29" w:type="dxa"/>
            <w:vAlign w:val="center"/>
            <w:textDirection w:val="lrTb"/>
            <w:noWrap w:val="false"/>
          </w:tcPr>
          <w:p>
            <w:pP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人民币（大写）                     元整（￥            元）</w:t>
            </w:r>
            <w:r>
              <w:rPr>
                <w:color w:val="auto"/>
                <w:highlight w:val="none"/>
              </w:rPr>
            </w:r>
          </w:p>
        </w:tc>
      </w:tr>
    </w:tbl>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本表可修改、扩展，格式自拟</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法定代表人或授权代表（签字或盖章）：                 。</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报价应包括投标人为完成招标文件确定的招标范围内的所有工作内容。投标人应充分考虑为完成招标文件内容所必需的全部材料所需的所有费用，即主要包括（但不限于）：直接和间接成本费、材料损耗费、劳务费、采购费、保险费、管理费、调试费、招标代理费、检测费等所有费用、税金、利润、风险费、成品保护费等不可预见费及其他一切相关费用等所需的全部费用，凡漏项或少计均视为优惠，招标人不另行增加费用。各类风险和政策性调整等风险已包括在投标报价中，最终结算时除合同约定调整外一律不予调整。</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2、投标报价不得高于预算价。</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3、行数不够，可自行添加。</w:t>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2"/>
        <w:rPr>
          <w:rFonts w:hint="eastAsia" w:ascii="仿宋" w:hAnsi="仿宋" w:cs="仿宋"/>
          <w:b/>
          <w:bCs/>
          <w:color w:val="auto"/>
          <w:szCs w:val="28"/>
          <w:highlight w:val="none"/>
        </w:rPr>
      </w:pPr>
      <w:r>
        <w:rPr>
          <w:rFonts w:hint="eastAsia" w:ascii="仿宋" w:hAnsi="仿宋" w:cs="仿宋"/>
          <w:b/>
          <w:bCs/>
          <w:color w:val="auto"/>
          <w:szCs w:val="28"/>
          <w:highlight w:val="none"/>
        </w:rPr>
      </w:r>
      <w:r>
        <w:rPr>
          <w:color w:val="auto"/>
          <w:highlight w:val="none"/>
        </w:rPr>
      </w:r>
    </w:p>
    <w:p>
      <w:pPr>
        <w:pStyle w:val="1012"/>
        <w:rPr>
          <w:rFonts w:hint="eastAsia" w:ascii="仿宋" w:hAnsi="仿宋" w:cs="仿宋"/>
          <w:b/>
          <w:bCs/>
          <w:color w:val="auto"/>
          <w:szCs w:val="28"/>
          <w:highlight w:val="none"/>
        </w:rPr>
      </w:pPr>
      <w:r>
        <w:rPr>
          <w:rFonts w:hint="eastAsia" w:ascii="仿宋" w:hAnsi="仿宋" w:cs="仿宋"/>
          <w:b/>
          <w:bCs/>
          <w:color w:val="auto"/>
          <w:szCs w:val="28"/>
          <w:highlight w:val="none"/>
        </w:rPr>
      </w:r>
      <w:r>
        <w:rPr>
          <w:color w:val="auto"/>
          <w:highlight w:val="none"/>
        </w:rPr>
      </w:r>
    </w:p>
    <w:p>
      <w:pPr>
        <w:pStyle w:val="1012"/>
        <w:rPr>
          <w:rFonts w:hint="eastAsia" w:ascii="仿宋" w:hAnsi="仿宋" w:cs="仿宋"/>
          <w:b/>
          <w:bCs/>
          <w:color w:val="auto"/>
          <w:szCs w:val="28"/>
          <w:highlight w:val="none"/>
        </w:rPr>
      </w:pPr>
      <w:r>
        <w:rPr>
          <w:rFonts w:hint="eastAsia" w:ascii="仿宋" w:hAnsi="仿宋" w:cs="仿宋"/>
          <w:b/>
          <w:bCs/>
          <w:color w:val="auto"/>
          <w:szCs w:val="28"/>
          <w:highlight w:val="none"/>
        </w:rPr>
      </w:r>
      <w:r>
        <w:rPr>
          <w:color w:val="auto"/>
          <w:highlight w:val="none"/>
        </w:rPr>
      </w:r>
    </w:p>
    <w:p>
      <w:pPr>
        <w:pStyle w:val="1015"/>
        <w:ind w:left="0" w:firstLine="0"/>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pStyle w:val="1015"/>
        <w:ind w:left="0" w:firstLine="0"/>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六、技术参数响应及偏离表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投标人全称：（加盖公章）</w:t>
      </w:r>
      <w:r>
        <w:rPr>
          <w:color w:val="auto"/>
          <w:highlight w:val="none"/>
        </w:rPr>
      </w:r>
    </w:p>
    <w:tbl>
      <w:tblPr>
        <w:tblStyle w:val="1004"/>
        <w:tblW w:w="90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852"/>
        <w:gridCol w:w="1477"/>
        <w:gridCol w:w="1478"/>
        <w:gridCol w:w="1478"/>
        <w:gridCol w:w="929"/>
      </w:tblGrid>
      <w:tr>
        <w:trPr>
          <w:cantSplit/>
          <w:trHeight w:val="624"/>
        </w:trPr>
        <w:tc>
          <w:tcPr>
            <w:tcW w:w="876" w:type="dxa"/>
            <w:vAlign w:val="center"/>
            <w:textDirection w:val="lrTb"/>
            <w:noWrap w:val="false"/>
          </w:tcPr>
          <w:p>
            <w:pP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招标要求</w:t>
            </w:r>
            <w:r>
              <w:rPr>
                <w:color w:val="auto"/>
                <w:highlight w:val="none"/>
              </w:rPr>
            </w:r>
          </w:p>
        </w:tc>
        <w:tc>
          <w:tcPr>
            <w:tcW w:w="1477"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投标响应</w:t>
            </w:r>
            <w:r>
              <w:rPr>
                <w:color w:val="auto"/>
                <w:highlight w:val="none"/>
              </w:rPr>
            </w:r>
          </w:p>
        </w:tc>
        <w:tc>
          <w:tcPr>
            <w:tcW w:w="1478"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正偏离</w:t>
            </w:r>
            <w:r>
              <w:rPr>
                <w:color w:val="auto"/>
                <w:highlight w:val="none"/>
              </w:rPr>
            </w:r>
          </w:p>
        </w:tc>
        <w:tc>
          <w:tcPr>
            <w:tcW w:w="1478"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负偏离</w:t>
            </w:r>
            <w:r>
              <w:rPr>
                <w:color w:val="auto"/>
                <w:highlight w:val="none"/>
              </w:rPr>
            </w:r>
          </w:p>
        </w:tc>
        <w:tc>
          <w:tcPr>
            <w:tcW w:w="929"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原因</w:t>
            </w:r>
            <w:r>
              <w:rPr>
                <w:color w:val="auto"/>
                <w:highlight w:val="none"/>
              </w:rP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929"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929"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929"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929"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929"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929"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929"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2852"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7"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478"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929"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bl>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                 。</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1、按照基本技术要求详细填列。</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2、行数不够，可自行添加。</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3、如无超出或偏离项目，此表无需填写。</w:t>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pStyle w:val="1012"/>
        <w:rPr>
          <w:rFonts w:hint="eastAsia" w:ascii="仿宋" w:hAnsi="仿宋" w:cs="仿宋"/>
          <w:b/>
          <w:color w:val="auto"/>
          <w:szCs w:val="28"/>
          <w:highlight w:val="none"/>
        </w:rPr>
      </w:pPr>
      <w:r>
        <w:rPr>
          <w:rFonts w:hint="eastAsia" w:ascii="仿宋" w:hAnsi="仿宋" w:cs="仿宋"/>
          <w:b/>
          <w:color w:val="auto"/>
          <w:szCs w:val="28"/>
          <w:highlight w:val="none"/>
        </w:rPr>
      </w:r>
      <w:r>
        <w:rPr>
          <w:color w:val="auto"/>
          <w:highlight w:val="none"/>
        </w:rPr>
      </w:r>
    </w:p>
    <w:p>
      <w:pPr>
        <w:pStyle w:val="1012"/>
        <w:rPr>
          <w:rFonts w:hint="eastAsia" w:ascii="仿宋" w:hAnsi="仿宋" w:cs="仿宋"/>
          <w:b/>
          <w:color w:val="auto"/>
          <w:szCs w:val="28"/>
          <w:highlight w:val="none"/>
        </w:rPr>
      </w:pPr>
      <w:r>
        <w:rPr>
          <w:rFonts w:hint="eastAsia" w:ascii="仿宋" w:hAnsi="仿宋" w:cs="仿宋"/>
          <w:b/>
          <w:color w:val="auto"/>
          <w:szCs w:val="28"/>
          <w:highlight w:val="none"/>
        </w:rPr>
      </w:r>
      <w:r>
        <w:rPr>
          <w:color w:val="auto"/>
          <w:highlight w:val="none"/>
        </w:rP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rPr>
          <w:color w:val="auto"/>
          <w:highlight w:val="none"/>
        </w:rP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七、商务条款响应及偏离表</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投标人全称：（加盖公章）</w:t>
      </w:r>
      <w:r>
        <w:rPr>
          <w:color w:val="auto"/>
          <w:highlight w:val="none"/>
        </w:rPr>
      </w:r>
    </w:p>
    <w:tbl>
      <w:tblPr>
        <w:tblStyle w:val="1004"/>
        <w:tblW w:w="9075"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2859"/>
        <w:gridCol w:w="1386"/>
        <w:gridCol w:w="3150"/>
      </w:tblGrid>
      <w:tr>
        <w:trPr>
          <w:trHeight w:val="640"/>
        </w:trPr>
        <w:tc>
          <w:tcPr>
            <w:tcW w:w="1680" w:type="dxa"/>
            <w:vAlign w:val="center"/>
            <w:textDirection w:val="lrTb"/>
            <w:noWrap w:val="false"/>
          </w:tcPr>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w:t>
            </w:r>
            <w:r>
              <w:rPr>
                <w:color w:val="auto"/>
                <w:highlight w:val="none"/>
              </w:rPr>
            </w:r>
          </w:p>
        </w:tc>
        <w:tc>
          <w:tcPr>
            <w:tcW w:w="2859" w:type="dxa"/>
            <w:vAlign w:val="center"/>
            <w:textDirection w:val="lrTb"/>
            <w:noWrap w:val="false"/>
          </w:tcPr>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招标文件要求</w:t>
            </w:r>
            <w:r>
              <w:rPr>
                <w:color w:val="auto"/>
                <w:highlight w:val="none"/>
              </w:rPr>
            </w:r>
          </w:p>
        </w:tc>
        <w:tc>
          <w:tcPr>
            <w:tcW w:w="1386" w:type="dxa"/>
            <w:vAlign w:val="center"/>
            <w:textDirection w:val="lrTb"/>
            <w:noWrap w:val="false"/>
          </w:tcPr>
          <w:p>
            <w:pPr>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是否响应</w:t>
            </w:r>
            <w:r>
              <w:rPr>
                <w:color w:val="auto"/>
                <w:highlight w:val="none"/>
              </w:rPr>
            </w:r>
          </w:p>
        </w:tc>
        <w:tc>
          <w:tcPr>
            <w:tcW w:w="3150" w:type="dxa"/>
            <w:vAlign w:val="center"/>
            <w:textDirection w:val="lrTb"/>
            <w:noWrap w:val="false"/>
          </w:tcPr>
          <w:p>
            <w:pPr>
              <w:ind w:firstLine="480"/>
              <w:jc w:val="cente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投标人的承诺或说明</w:t>
            </w:r>
            <w:r>
              <w:rPr>
                <w:color w:val="auto"/>
                <w:highlight w:val="none"/>
              </w:rPr>
            </w:r>
          </w:p>
        </w:tc>
      </w:tr>
      <w:tr>
        <w:trPr/>
        <w:tc>
          <w:tcPr>
            <w:tcW w:w="1680" w:type="dxa"/>
            <w:vAlign w:val="center"/>
            <w:textDirection w:val="lrTb"/>
            <w:noWrap w:val="false"/>
          </w:tcPr>
          <w:p>
            <w:pP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售后技术服务要求</w:t>
            </w:r>
            <w:r>
              <w:rPr>
                <w:color w:val="auto"/>
                <w:highlight w:val="none"/>
              </w:rPr>
            </w:r>
          </w:p>
        </w:tc>
        <w:tc>
          <w:tcPr>
            <w:tcW w:w="2859"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386"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3150"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c>
          <w:tcPr>
            <w:tcW w:w="1680" w:type="dxa"/>
            <w:vAlign w:val="center"/>
            <w:textDirection w:val="lrTb"/>
            <w:noWrap w:val="false"/>
          </w:tcPr>
          <w:p>
            <w:pP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实施、交货</w:t>
            </w:r>
            <w:r>
              <w:rPr>
                <w:rFonts w:hint="eastAsia" w:ascii="仿宋" w:hAnsi="仿宋" w:eastAsia="仿宋" w:cs="仿宋"/>
                <w:color w:val="auto"/>
                <w:sz w:val="24"/>
                <w:highlight w:val="none"/>
              </w:rPr>
              <w:br w:type="textWrapping" w:clear="all"/>
            </w:r>
            <w:r>
              <w:rPr>
                <w:rFonts w:hint="eastAsia" w:ascii="仿宋" w:hAnsi="仿宋" w:eastAsia="仿宋" w:cs="仿宋"/>
                <w:color w:val="auto"/>
                <w:sz w:val="24"/>
                <w:highlight w:val="none"/>
              </w:rPr>
              <w:t xml:space="preserve">时间</w:t>
            </w:r>
            <w:r>
              <w:rPr>
                <w:color w:val="auto"/>
                <w:highlight w:val="none"/>
              </w:rPr>
            </w:r>
          </w:p>
        </w:tc>
        <w:tc>
          <w:tcPr>
            <w:tcW w:w="2859"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386"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3150"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c>
          <w:tcPr>
            <w:tcW w:w="1680" w:type="dxa"/>
            <w:vAlign w:val="center"/>
            <w:textDirection w:val="lrTb"/>
            <w:noWrap w:val="false"/>
          </w:tcPr>
          <w:p>
            <w:pP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实施、交货</w:t>
            </w:r>
            <w:r>
              <w:rPr>
                <w:rFonts w:hint="eastAsia" w:ascii="仿宋" w:hAnsi="仿宋" w:eastAsia="仿宋" w:cs="仿宋"/>
                <w:color w:val="auto"/>
                <w:sz w:val="24"/>
                <w:highlight w:val="none"/>
              </w:rPr>
              <w:br w:type="textWrapping" w:clear="all"/>
            </w:r>
            <w:r>
              <w:rPr>
                <w:rFonts w:hint="eastAsia" w:ascii="仿宋" w:hAnsi="仿宋" w:eastAsia="仿宋" w:cs="仿宋"/>
                <w:color w:val="auto"/>
                <w:sz w:val="24"/>
                <w:highlight w:val="none"/>
              </w:rPr>
              <w:t xml:space="preserve">方式</w:t>
            </w:r>
            <w:r>
              <w:rPr>
                <w:color w:val="auto"/>
                <w:highlight w:val="none"/>
              </w:rPr>
            </w:r>
          </w:p>
        </w:tc>
        <w:tc>
          <w:tcPr>
            <w:tcW w:w="2859"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386"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3150"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c>
          <w:tcPr>
            <w:tcW w:w="1680" w:type="dxa"/>
            <w:vAlign w:val="center"/>
            <w:textDirection w:val="lrTb"/>
            <w:noWrap w:val="false"/>
          </w:tcPr>
          <w:p>
            <w:pP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实施、交货</w:t>
            </w:r>
            <w:r>
              <w:rPr>
                <w:rFonts w:hint="eastAsia" w:ascii="仿宋" w:hAnsi="仿宋" w:eastAsia="仿宋" w:cs="仿宋"/>
                <w:color w:val="auto"/>
                <w:sz w:val="24"/>
                <w:highlight w:val="none"/>
              </w:rPr>
              <w:br w:type="textWrapping" w:clear="all"/>
            </w:r>
            <w:r>
              <w:rPr>
                <w:rFonts w:hint="eastAsia" w:ascii="仿宋" w:hAnsi="仿宋" w:eastAsia="仿宋" w:cs="仿宋"/>
                <w:color w:val="auto"/>
                <w:sz w:val="24"/>
                <w:highlight w:val="none"/>
              </w:rPr>
              <w:t xml:space="preserve">地点</w:t>
            </w:r>
            <w:r>
              <w:rPr>
                <w:color w:val="auto"/>
                <w:highlight w:val="none"/>
              </w:rPr>
            </w:r>
          </w:p>
        </w:tc>
        <w:tc>
          <w:tcPr>
            <w:tcW w:w="2859"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386"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3150"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c>
          <w:tcPr>
            <w:tcW w:w="168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付款方式</w:t>
            </w:r>
            <w:r>
              <w:rPr>
                <w:color w:val="auto"/>
                <w:highlight w:val="none"/>
              </w:rPr>
            </w:r>
          </w:p>
        </w:tc>
        <w:tc>
          <w:tcPr>
            <w:tcW w:w="2859"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386"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3150"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r>
        <w:trPr/>
        <w:tc>
          <w:tcPr>
            <w:tcW w:w="1680" w:type="dxa"/>
            <w:vAlign w:val="center"/>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w:t>
            </w:r>
            <w:r>
              <w:rPr>
                <w:color w:val="auto"/>
                <w:highlight w:val="none"/>
              </w:rPr>
            </w:r>
          </w:p>
        </w:tc>
        <w:tc>
          <w:tcPr>
            <w:tcW w:w="2859"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1386"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c>
          <w:tcPr>
            <w:tcW w:w="3150" w:type="dxa"/>
            <w:vAlign w:val="top"/>
            <w:textDirection w:val="lrTb"/>
            <w:noWrap w:val="false"/>
          </w:tcPr>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tc>
      </w:tr>
    </w:tbl>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本表可修改、扩展，格式自拟</w:t>
      </w:r>
      <w:r>
        <w:rPr>
          <w:color w:val="auto"/>
          <w:highlight w:val="none"/>
        </w:rP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 xml:space="preserve">法定代表人或授权代表签字：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13"/>
        <w:ind w:firstLine="0"/>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八、项目实施方案</w:t>
      </w:r>
      <w:r>
        <w:rPr>
          <w:color w:val="auto"/>
          <w:highlight w:val="none"/>
        </w:rPr>
      </w:r>
    </w:p>
    <w:p>
      <w:pPr>
        <w:pStyle w:val="1013"/>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（按评标办法的内容进行编制）</w:t>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九、沛县政府采购事前信用承诺书</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为营造我县公开、公平、公正、诚实守信的政府采购交易环境，树立诚信守法的投标人形象，本人代表本单位作出以下承诺：</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（三）严格依照国家和省、市、区关于政府采购的法律法规、规章、规范性文件，参加政府采购投标活动；积极履行社会责任，促进廉政建设； </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自我约束、自我管理，守合同、重信用，自觉维护政府采购交易的良好秩序，与参与本次政府采购活动的其他投标人不存在直接控股或管理关系，不参与围标串标、弄虚作假、骗取中标、干扰评标、违约毁约等行为；</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（五）自觉接受政府、行业组织、社会公众、新闻舆论的监督；</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（七）本人已认真阅读了上述承诺，并向本单位员工做了宣传教育。</w:t>
      </w:r>
      <w:r>
        <w:rPr>
          <w:color w:val="auto"/>
          <w:highlight w:val="none"/>
        </w:rP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2"/>
        <w:rPr>
          <w:rFonts w:hint="eastAsia"/>
          <w:color w:val="auto"/>
          <w:highlight w:val="none"/>
        </w:rPr>
      </w:pPr>
      <w:r>
        <w:rPr>
          <w:rFonts w:hint="eastAsia"/>
          <w:color w:val="auto"/>
          <w:highlight w:val="none"/>
        </w:rPr>
      </w:r>
      <w:r>
        <w:rPr>
          <w:color w:val="auto"/>
          <w:highlight w:val="none"/>
        </w:rP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                 </w:t>
      </w:r>
      <w:r>
        <w:rPr>
          <w:color w:val="auto"/>
          <w:highlight w:val="none"/>
        </w:rP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单位名称（盖章）：                 </w:t>
      </w:r>
      <w:r>
        <w:rPr>
          <w:color w:val="auto"/>
          <w:highlight w:val="none"/>
        </w:rP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rPr>
          <w:color w:val="auto"/>
          <w:highlight w:val="none"/>
        </w:rP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30"/>
        <w:ind w:firstLine="0"/>
        <w:spacing w:line="48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3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3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3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3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30"/>
        <w:ind w:firstLine="0"/>
        <w:jc w:val="center"/>
        <w:spacing w:line="48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十、评标办法中要求提供的其他相关证明材料</w:t>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3"/>
        <w:ind w:firstLine="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32"/>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11"/>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2"/>
        <w:rPr>
          <w:rFonts w:hint="eastAsia" w:ascii="仿宋" w:hAnsi="仿宋" w:cs="仿宋"/>
          <w:color w:val="auto"/>
          <w:sz w:val="24"/>
          <w:highlight w:val="none"/>
        </w:rPr>
      </w:pPr>
      <w:r>
        <w:rPr>
          <w:rFonts w:hint="eastAsia" w:ascii="仿宋" w:hAnsi="仿宋" w:cs="仿宋"/>
          <w:color w:val="auto"/>
          <w:sz w:val="24"/>
          <w:highlight w:val="none"/>
        </w:rPr>
      </w:r>
      <w:r>
        <w:rPr>
          <w:color w:val="auto"/>
          <w:highlight w:val="none"/>
        </w:rPr>
      </w:r>
    </w:p>
    <w:p>
      <w:pPr>
        <w:pStyle w:val="1012"/>
        <w:rPr>
          <w:rFonts w:hint="eastAsia" w:ascii="仿宋" w:hAnsi="仿宋" w:cs="仿宋"/>
          <w:color w:val="auto"/>
          <w:sz w:val="24"/>
          <w:highlight w:val="none"/>
        </w:rPr>
      </w:pPr>
      <w:r>
        <w:rPr>
          <w:rFonts w:hint="eastAsia" w:ascii="仿宋" w:hAnsi="仿宋" w:cs="仿宋"/>
          <w:color w:val="auto"/>
          <w:sz w:val="24"/>
          <w:highlight w:val="none"/>
        </w:rPr>
      </w:r>
      <w:r>
        <w:rPr>
          <w:color w:val="auto"/>
          <w:highlight w:val="none"/>
        </w:rP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pStyle w:val="1017"/>
        <w:jc w:val="center"/>
        <w:spacing w:line="27" w:lineRule="atLeast"/>
        <w:rPr>
          <w:rFonts w:hint="eastAsia" w:ascii="仿宋" w:hAnsi="仿宋" w:eastAsia="仿宋" w:cs="仿宋"/>
          <w:b/>
          <w:color w:val="auto"/>
          <w:sz w:val="28"/>
          <w:szCs w:val="28"/>
          <w:highlight w:val="none"/>
        </w:rPr>
        <w:pBdr>
          <w:top w:val="none" w:color="000000" w:sz="0" w:space="0"/>
          <w:bottom w:val="none" w:color="000000" w:sz="0" w:space="0"/>
        </w:pBdr>
      </w:pPr>
      <w:r>
        <w:rPr>
          <w:rFonts w:hint="eastAsia" w:ascii="仿宋" w:hAnsi="仿宋" w:eastAsia="仿宋" w:cs="仿宋"/>
          <w:b/>
          <w:color w:val="auto"/>
          <w:sz w:val="28"/>
          <w:szCs w:val="28"/>
          <w:highlight w:val="none"/>
        </w:rPr>
      </w:r>
      <w:r>
        <w:rPr>
          <w:color w:val="auto"/>
          <w:highlight w:val="none"/>
        </w:rPr>
      </w:r>
    </w:p>
    <w:p>
      <w:pPr>
        <w:pStyle w:val="1017"/>
        <w:jc w:val="center"/>
        <w:spacing w:line="27" w:lineRule="atLeast"/>
        <w:rPr>
          <w:rFonts w:hint="eastAsia" w:ascii="仿宋" w:hAnsi="仿宋" w:eastAsia="仿宋" w:cs="仿宋"/>
          <w:color w:val="auto"/>
          <w:highlight w:val="none"/>
        </w:rPr>
        <w:pBdr>
          <w:top w:val="none" w:color="000000" w:sz="0" w:space="0"/>
          <w:bottom w:val="none" w:color="000000" w:sz="0" w:space="0"/>
        </w:pBdr>
      </w:pPr>
      <w:r>
        <w:rPr>
          <w:rFonts w:hint="eastAsia" w:ascii="仿宋" w:hAnsi="仿宋" w:eastAsia="仿宋" w:cs="仿宋"/>
          <w:b/>
          <w:color w:val="auto"/>
          <w:sz w:val="28"/>
          <w:szCs w:val="28"/>
          <w:highlight w:val="none"/>
        </w:rPr>
        <w:t xml:space="preserve">十一、</w:t>
      </w:r>
      <w:r>
        <w:rPr>
          <w:rFonts w:hint="eastAsia" w:ascii="仿宋" w:hAnsi="仿宋" w:eastAsia="仿宋" w:cs="仿宋"/>
          <w:color w:val="auto"/>
          <w:sz w:val="28"/>
          <w:szCs w:val="28"/>
          <w:highlight w:val="none"/>
        </w:rPr>
        <w:t xml:space="preserve">中小企业声明函</w:t>
      </w:r>
      <w:r>
        <w:rPr>
          <w:rFonts w:hint="eastAsia" w:ascii="仿宋" w:hAnsi="仿宋" w:eastAsia="仿宋" w:cs="仿宋"/>
          <w:color w:val="auto"/>
          <w:highlight w:val="none"/>
        </w:rPr>
        <w:t xml:space="preserve"> </w:t>
      </w:r>
      <w:r>
        <w:rPr>
          <w:color w:val="auto"/>
          <w:highlight w:val="none"/>
        </w:rPr>
      </w:r>
    </w:p>
    <w:p>
      <w:pPr>
        <w:pStyle w:val="1017"/>
        <w:spacing w:line="27"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w:t>
      </w:r>
      <w:r>
        <w:rPr>
          <w:color w:val="auto"/>
          <w:highlight w:val="none"/>
        </w:rPr>
      </w:r>
    </w:p>
    <w:p>
      <w:pPr>
        <w:pStyle w:val="1017"/>
        <w:spacing w:line="27"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 </w:t>
      </w:r>
      <w:r>
        <w:rPr>
          <w:color w:val="auto"/>
          <w:highlight w:val="none"/>
        </w:rPr>
      </w:r>
    </w:p>
    <w:p>
      <w:pPr>
        <w:pStyle w:val="1017"/>
        <w:ind w:firstLine="480"/>
        <w:spacing w:line="460"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本公司</w:t>
      </w:r>
      <w:r>
        <w:rPr>
          <w:rFonts w:hint="eastAsia" w:ascii="仿宋" w:hAnsi="仿宋" w:eastAsia="仿宋" w:cs="仿宋"/>
          <w:color w:val="auto"/>
          <w:highlight w:val="none"/>
          <w:u w:val="single"/>
        </w:rPr>
        <w:t xml:space="preserve"> （联合体）</w:t>
      </w:r>
      <w:r>
        <w:rPr>
          <w:rFonts w:hint="eastAsia" w:ascii="仿宋" w:hAnsi="仿宋" w:eastAsia="仿宋" w:cs="仿宋"/>
          <w:color w:val="auto"/>
          <w:highlight w:val="none"/>
        </w:rPr>
        <w:t xml:space="preserve">郑重声明，根据《政府采购促进中小企业发展管理办法》（财库 〔2020〕46号）的规定，本公司（联合体）参加</w:t>
      </w:r>
      <w:r>
        <w:rPr>
          <w:rFonts w:hint="eastAsia" w:ascii="仿宋" w:hAnsi="仿宋" w:eastAsia="仿宋" w:cs="仿宋"/>
          <w:color w:val="auto"/>
          <w:highlight w:val="none"/>
          <w:u w:val="single"/>
        </w:rPr>
        <w:t xml:space="preserve">（单位名称）</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（项目名称）</w:t>
      </w:r>
      <w:r>
        <w:rPr>
          <w:rFonts w:hint="eastAsia" w:ascii="仿宋" w:hAnsi="仿宋" w:eastAsia="仿宋" w:cs="仿宋"/>
          <w:color w:val="auto"/>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auto"/>
          <w:highlight w:val="none"/>
        </w:rPr>
        <w:t xml:space="preserve"> </w:t>
      </w:r>
      <w:r>
        <w:rPr>
          <w:color w:val="auto"/>
          <w:highlight w:val="none"/>
        </w:rPr>
      </w:r>
    </w:p>
    <w:p>
      <w:pPr>
        <w:pStyle w:val="1017"/>
        <w:ind w:firstLine="480"/>
        <w:spacing w:line="460" w:lineRule="atLeast"/>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1.（标的名称）</w:t>
      </w:r>
      <w:r>
        <w:rPr>
          <w:rFonts w:hint="eastAsia" w:ascii="仿宋" w:hAnsi="仿宋" w:eastAsia="仿宋" w:cs="仿宋"/>
          <w:color w:val="auto"/>
          <w:highlight w:val="none"/>
        </w:rPr>
        <w:t xml:space="preserve">，属于</w:t>
      </w:r>
      <w:r>
        <w:rPr>
          <w:rFonts w:hint="eastAsia" w:ascii="仿宋" w:hAnsi="仿宋" w:eastAsia="仿宋" w:cs="仿宋"/>
          <w:color w:val="auto"/>
          <w:highlight w:val="none"/>
          <w:u w:val="single"/>
        </w:rPr>
        <w:t xml:space="preserve">（工业 ）行业</w:t>
      </w:r>
      <w:r>
        <w:rPr>
          <w:rFonts w:hint="eastAsia" w:ascii="仿宋" w:hAnsi="仿宋" w:eastAsia="仿宋" w:cs="仿宋"/>
          <w:color w:val="auto"/>
          <w:highlight w:val="none"/>
        </w:rPr>
        <w:t xml:space="preserve">；制造商为</w:t>
      </w:r>
      <w:r>
        <w:rPr>
          <w:rFonts w:hint="eastAsia" w:ascii="仿宋" w:hAnsi="仿宋" w:eastAsia="仿宋" w:cs="仿宋"/>
          <w:color w:val="auto"/>
          <w:highlight w:val="none"/>
          <w:u w:val="single"/>
        </w:rPr>
        <w:t xml:space="preserve">（企业名称）</w:t>
      </w:r>
      <w:r>
        <w:rPr>
          <w:rFonts w:hint="eastAsia" w:ascii="仿宋" w:hAnsi="仿宋" w:eastAsia="仿宋" w:cs="仿宋"/>
          <w:color w:val="auto"/>
          <w:highlight w:val="none"/>
        </w:rPr>
        <w:t xml:space="preserve">，从业人员人， 营业收入为万元，资产总额为万元，属于</w:t>
      </w:r>
      <w:r>
        <w:rPr>
          <w:rFonts w:hint="eastAsia" w:ascii="仿宋" w:hAnsi="仿宋" w:eastAsia="仿宋" w:cs="仿宋"/>
          <w:color w:val="auto"/>
          <w:highlight w:val="none"/>
          <w:u w:val="single"/>
        </w:rPr>
        <w:t xml:space="preserve">（□中型企业、□小型企业、□微型企</w:t>
      </w:r>
      <w:r>
        <w:rPr>
          <w:rFonts w:hint="eastAsia" w:ascii="仿宋" w:hAnsi="仿宋" w:eastAsia="仿宋" w:cs="仿宋"/>
          <w:color w:val="auto"/>
          <w:highlight w:val="none"/>
        </w:rPr>
        <w:t xml:space="preserve">业</w:t>
      </w:r>
      <w:r>
        <w:rPr>
          <w:rFonts w:hint="eastAsia" w:ascii="仿宋" w:hAnsi="仿宋" w:eastAsia="仿宋" w:cs="仿宋"/>
          <w:b/>
          <w:bCs/>
          <w:color w:val="auto"/>
          <w:highlight w:val="none"/>
        </w:rPr>
        <w:t xml:space="preserve"> 请勾选！）</w:t>
      </w:r>
      <w:r>
        <w:rPr>
          <w:rFonts w:hint="eastAsia" w:ascii="仿宋" w:hAnsi="仿宋" w:eastAsia="仿宋" w:cs="仿宋"/>
          <w:color w:val="auto"/>
          <w:highlight w:val="none"/>
        </w:rPr>
        <w:t xml:space="preserve">；</w:t>
      </w:r>
      <w:r>
        <w:rPr>
          <w:rFonts w:hint="eastAsia" w:ascii="仿宋" w:hAnsi="仿宋" w:eastAsia="仿宋" w:cs="仿宋"/>
          <w:color w:val="auto"/>
          <w:highlight w:val="none"/>
        </w:rPr>
        <w:t xml:space="preserve"> </w:t>
      </w:r>
      <w:r>
        <w:rPr>
          <w:color w:val="auto"/>
          <w:highlight w:val="none"/>
        </w:rPr>
      </w:r>
    </w:p>
    <w:p>
      <w:pPr>
        <w:pStyle w:val="1017"/>
        <w:ind w:firstLine="480"/>
        <w:spacing w:line="460" w:lineRule="atLeast"/>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2.（标的名称）</w:t>
      </w:r>
      <w:r>
        <w:rPr>
          <w:rFonts w:hint="eastAsia" w:ascii="仿宋" w:hAnsi="仿宋" w:eastAsia="仿宋" w:cs="仿宋"/>
          <w:color w:val="auto"/>
          <w:highlight w:val="none"/>
        </w:rPr>
        <w:t xml:space="preserve">，属于</w:t>
      </w:r>
      <w:r>
        <w:rPr>
          <w:rFonts w:hint="eastAsia" w:ascii="仿宋" w:hAnsi="仿宋" w:eastAsia="仿宋" w:cs="仿宋"/>
          <w:color w:val="auto"/>
          <w:highlight w:val="none"/>
          <w:u w:val="single"/>
        </w:rPr>
        <w:t xml:space="preserve">（工业）行业</w:t>
      </w:r>
      <w:r>
        <w:rPr>
          <w:rFonts w:hint="eastAsia" w:ascii="仿宋" w:hAnsi="仿宋" w:eastAsia="仿宋" w:cs="仿宋"/>
          <w:color w:val="auto"/>
          <w:highlight w:val="none"/>
        </w:rPr>
        <w:t xml:space="preserve">；制造商为</w:t>
      </w:r>
      <w:r>
        <w:rPr>
          <w:rFonts w:hint="eastAsia" w:ascii="仿宋" w:hAnsi="仿宋" w:eastAsia="仿宋" w:cs="仿宋"/>
          <w:color w:val="auto"/>
          <w:highlight w:val="none"/>
          <w:u w:val="single"/>
        </w:rPr>
        <w:t xml:space="preserve">（企业名称）</w:t>
      </w:r>
      <w:r>
        <w:rPr>
          <w:rFonts w:hint="eastAsia" w:ascii="仿宋" w:hAnsi="仿宋" w:eastAsia="仿宋" w:cs="仿宋"/>
          <w:color w:val="auto"/>
          <w:highlight w:val="none"/>
        </w:rPr>
        <w:t xml:space="preserve">，从业人员人，营业收入为万元， 资产总额为万元，属于</w:t>
      </w:r>
      <w:r>
        <w:rPr>
          <w:rFonts w:hint="eastAsia" w:ascii="仿宋" w:hAnsi="仿宋" w:eastAsia="仿宋" w:cs="仿宋"/>
          <w:color w:val="auto"/>
          <w:highlight w:val="none"/>
          <w:u w:val="single"/>
        </w:rPr>
        <w:t xml:space="preserve">（□中型企业、□小型企业、□微型企业 </w:t>
      </w:r>
      <w:r>
        <w:rPr>
          <w:rFonts w:hint="eastAsia" w:ascii="仿宋" w:hAnsi="仿宋" w:eastAsia="仿宋" w:cs="仿宋"/>
          <w:b/>
          <w:bCs/>
          <w:color w:val="auto"/>
          <w:highlight w:val="none"/>
        </w:rPr>
        <w:t xml:space="preserve">请勾选！）</w:t>
      </w:r>
      <w:r>
        <w:rPr>
          <w:rFonts w:hint="eastAsia" w:ascii="仿宋" w:hAnsi="仿宋" w:eastAsia="仿宋" w:cs="仿宋"/>
          <w:color w:val="auto"/>
          <w:highlight w:val="none"/>
        </w:rPr>
        <w:t xml:space="preserve">；</w:t>
      </w:r>
      <w:r>
        <w:rPr>
          <w:rFonts w:hint="eastAsia" w:ascii="仿宋" w:hAnsi="仿宋" w:eastAsia="仿宋" w:cs="仿宋"/>
          <w:color w:val="auto"/>
          <w:highlight w:val="none"/>
        </w:rPr>
        <w:t xml:space="preserve"> </w:t>
      </w:r>
      <w:r>
        <w:rPr>
          <w:color w:val="auto"/>
          <w:highlight w:val="none"/>
        </w:rPr>
      </w:r>
    </w:p>
    <w:p>
      <w:pPr>
        <w:pStyle w:val="1017"/>
        <w:rPr>
          <w:rFonts w:hint="eastAsia" w:ascii="仿宋" w:hAnsi="仿宋" w:eastAsia="仿宋" w:cs="仿宋"/>
          <w:color w:val="auto"/>
          <w:highlight w:val="none"/>
        </w:rPr>
        <w:pBdr>
          <w:bottom w:val="none" w:color="000000" w:sz="0" w:space="0"/>
        </w:pBdr>
      </w:pPr>
      <w:r>
        <w:rPr>
          <w:rFonts w:hint="eastAsia" w:ascii="仿宋" w:hAnsi="仿宋" w:eastAsia="仿宋" w:cs="仿宋"/>
          <w:color w:val="auto"/>
          <w:highlight w:val="none"/>
        </w:rPr>
        <w:t xml:space="preserve">…</w:t>
      </w:r>
      <w:r>
        <w:rPr>
          <w:rFonts w:hint="eastAsia" w:ascii="仿宋" w:hAnsi="仿宋" w:eastAsia="仿宋" w:cs="仿宋"/>
          <w:color w:val="auto"/>
          <w:highlight w:val="none"/>
        </w:rPr>
        <w:t xml:space="preserve"> </w:t>
      </w:r>
      <w:r>
        <w:rPr>
          <w:color w:val="auto"/>
          <w:highlight w:val="none"/>
        </w:rPr>
      </w:r>
    </w:p>
    <w:p>
      <w:pPr>
        <w:pStyle w:val="1017"/>
        <w:rPr>
          <w:rFonts w:hint="eastAsia" w:ascii="仿宋" w:hAnsi="仿宋" w:eastAsia="仿宋" w:cs="仿宋"/>
          <w:color w:val="auto"/>
          <w:highlight w:val="none"/>
        </w:rPr>
        <w:pBdr>
          <w:bottom w:val="none" w:color="000000" w:sz="0" w:space="0"/>
        </w:pBdr>
      </w:pPr>
      <w:r>
        <w:rPr>
          <w:rFonts w:hint="eastAsia" w:ascii="仿宋" w:hAnsi="仿宋" w:eastAsia="仿宋" w:cs="仿宋"/>
          <w:color w:val="auto"/>
          <w:highlight w:val="none"/>
        </w:rPr>
        <w:t xml:space="preserve">所投的产品需要逐条列出。</w:t>
      </w:r>
      <w:r>
        <w:rPr>
          <w:rFonts w:hint="eastAsia" w:ascii="仿宋" w:hAnsi="仿宋" w:eastAsia="仿宋" w:cs="仿宋"/>
          <w:color w:val="auto"/>
          <w:highlight w:val="none"/>
        </w:rPr>
        <w:t xml:space="preserve"> </w:t>
      </w:r>
      <w:r>
        <w:rPr>
          <w:color w:val="auto"/>
          <w:highlight w:val="none"/>
        </w:rPr>
      </w:r>
    </w:p>
    <w:p>
      <w:pPr>
        <w:pStyle w:val="1017"/>
        <w:ind w:firstLine="482"/>
        <w:spacing w:line="520" w:lineRule="atLeast"/>
        <w:rPr>
          <w:rFonts w:hint="eastAsia" w:ascii="仿宋" w:hAnsi="仿宋" w:eastAsia="仿宋" w:cs="仿宋"/>
          <w:color w:val="auto"/>
          <w:highlight w:val="none"/>
        </w:rPr>
      </w:pPr>
      <w:r>
        <w:rPr>
          <w:rFonts w:hint="eastAsia" w:ascii="仿宋" w:hAnsi="仿宋" w:eastAsia="仿宋" w:cs="仿宋"/>
          <w:b/>
          <w:bCs/>
          <w:color w:val="auto"/>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auto"/>
          <w:highlight w:val="none"/>
        </w:rPr>
        <w:t xml:space="preserve"> </w:t>
      </w:r>
      <w:r>
        <w:rPr>
          <w:color w:val="auto"/>
          <w:highlight w:val="none"/>
        </w:rPr>
      </w:r>
    </w:p>
    <w:p>
      <w:pPr>
        <w:pStyle w:val="1017"/>
        <w:ind w:firstLine="480"/>
        <w:spacing w:line="520"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本企业对上述声明内容的真实性负责。如有虚假，将依法承担相应责任。</w:t>
      </w:r>
      <w:r>
        <w:rPr>
          <w:rFonts w:hint="eastAsia" w:ascii="仿宋" w:hAnsi="仿宋" w:eastAsia="仿宋" w:cs="仿宋"/>
          <w:color w:val="auto"/>
          <w:highlight w:val="none"/>
        </w:rPr>
        <w:t xml:space="preserve"> </w:t>
      </w:r>
      <w:r>
        <w:rPr>
          <w:color w:val="auto"/>
          <w:highlight w:val="none"/>
        </w:rPr>
      </w:r>
    </w:p>
    <w:p>
      <w:pPr>
        <w:pStyle w:val="1017"/>
        <w:ind w:firstLine="600"/>
        <w:spacing w:line="27" w:lineRule="atLeast"/>
        <w:rPr>
          <w:rFonts w:hint="default" w:ascii="仿宋" w:hAnsi="仿宋" w:eastAsia="仿宋" w:cs="仿宋"/>
          <w:color w:val="auto"/>
          <w:highlight w:val="none"/>
        </w:rPr>
      </w:pPr>
      <w:r>
        <w:rPr>
          <w:rFonts w:hint="eastAsia" w:ascii="仿宋" w:hAnsi="仿宋" w:eastAsia="仿宋" w:cs="仿宋"/>
          <w:color w:val="auto"/>
          <w:highlight w:val="none"/>
          <w:lang w:val="en-US" w:eastAsia="zh-CN"/>
        </w:rPr>
        <w:t xml:space="preserve">本项目属于制造行业</w:t>
      </w:r>
      <w:r>
        <w:rPr>
          <w:color w:val="auto"/>
          <w:highlight w:val="none"/>
        </w:rPr>
      </w:r>
    </w:p>
    <w:p>
      <w:pPr>
        <w:jc w:val="left"/>
        <w:widowControl/>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17"/>
        <w:ind w:firstLine="5040"/>
        <w:spacing w:line="27"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企业名称（电子签章）： </w:t>
      </w:r>
      <w:r>
        <w:rPr>
          <w:color w:val="auto"/>
          <w:highlight w:val="none"/>
        </w:rPr>
      </w:r>
    </w:p>
    <w:p>
      <w:pPr>
        <w:pStyle w:val="1017"/>
        <w:ind w:firstLine="5582"/>
        <w:spacing w:line="27"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日期： </w:t>
      </w:r>
      <w:r>
        <w:rPr>
          <w:color w:val="auto"/>
          <w:highlight w:val="none"/>
        </w:rPr>
      </w:r>
    </w:p>
    <w:p>
      <w:pPr>
        <w:pStyle w:val="1017"/>
        <w:spacing w:line="480" w:lineRule="atLeast"/>
        <w:rPr>
          <w:rFonts w:hint="eastAsia" w:ascii="仿宋" w:hAnsi="仿宋" w:eastAsia="仿宋" w:cs="仿宋"/>
          <w:b/>
          <w:bCs/>
          <w:color w:val="auto"/>
          <w:highlight w:val="none"/>
        </w:rPr>
      </w:pPr>
      <w:r>
        <w:rPr>
          <w:rFonts w:hint="eastAsia" w:ascii="仿宋" w:hAnsi="仿宋" w:eastAsia="仿宋" w:cs="仿宋"/>
          <w:b/>
          <w:bCs/>
          <w:color w:val="auto"/>
          <w:highlight w:val="none"/>
        </w:rPr>
      </w:r>
      <w:r>
        <w:rPr>
          <w:color w:val="auto"/>
          <w:highlight w:val="none"/>
        </w:rPr>
      </w:r>
    </w:p>
    <w:p>
      <w:pPr>
        <w:pStyle w:val="1017"/>
        <w:spacing w:line="480" w:lineRule="atLeast"/>
        <w:rPr>
          <w:rFonts w:hint="eastAsia" w:ascii="仿宋" w:hAnsi="仿宋" w:eastAsia="仿宋" w:cs="仿宋"/>
          <w:color w:val="auto"/>
          <w:highlight w:val="none"/>
        </w:rPr>
      </w:pPr>
      <w:r>
        <w:rPr>
          <w:rFonts w:hint="eastAsia" w:ascii="仿宋" w:hAnsi="仿宋" w:eastAsia="仿宋" w:cs="仿宋"/>
          <w:b/>
          <w:bCs/>
          <w:color w:val="auto"/>
          <w:highlight w:val="none"/>
        </w:rPr>
        <w:t xml:space="preserve">备注：1.从业人员、营业收入、资产总额填报上一年度数据，无上一年度数据的新成立企业可不填报。</w:t>
      </w:r>
      <w:r>
        <w:rPr>
          <w:rFonts w:hint="eastAsia" w:ascii="仿宋" w:hAnsi="仿宋" w:eastAsia="仿宋" w:cs="仿宋"/>
          <w:color w:val="auto"/>
          <w:highlight w:val="none"/>
        </w:rPr>
        <w:t xml:space="preserve"> </w:t>
      </w:r>
      <w:r>
        <w:rPr>
          <w:color w:val="auto"/>
          <w:highlight w:val="none"/>
        </w:rPr>
      </w:r>
    </w:p>
    <w:p>
      <w:pPr>
        <w:pStyle w:val="1017"/>
        <w:ind w:firstLine="723"/>
        <w:spacing w:line="480" w:lineRule="atLeast"/>
        <w:rPr>
          <w:rFonts w:hint="eastAsia" w:ascii="仿宋" w:hAnsi="仿宋" w:eastAsia="仿宋" w:cs="仿宋"/>
          <w:color w:val="auto"/>
          <w:highlight w:val="none"/>
        </w:rPr>
      </w:pPr>
      <w:r>
        <w:rPr>
          <w:rFonts w:hint="eastAsia" w:ascii="仿宋" w:hAnsi="仿宋" w:eastAsia="仿宋" w:cs="仿宋"/>
          <w:b/>
          <w:bCs/>
          <w:color w:val="auto"/>
          <w:highlight w:val="none"/>
        </w:rPr>
        <w:t xml:space="preserve">2.《中小企业声明函》查询渠道参考工业和信息化部发布的中小企业规模自测小程序。</w:t>
      </w:r>
      <w:r>
        <w:rPr>
          <w:rFonts w:hint="eastAsia" w:ascii="仿宋" w:hAnsi="仿宋" w:eastAsia="仿宋" w:cs="仿宋"/>
          <w:color w:val="auto"/>
          <w:highlight w:val="none"/>
        </w:rPr>
        <w:t xml:space="preserve"> </w:t>
      </w:r>
      <w:r>
        <w:rPr>
          <w:color w:val="auto"/>
          <w:highlight w:val="none"/>
        </w:rPr>
      </w:r>
    </w:p>
    <w:p>
      <w:pPr>
        <w:pStyle w:val="1017"/>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附件：中小企业规模类型自测小程序 </w:t>
      </w:r>
      <w:r>
        <w:rPr>
          <w:color w:val="auto"/>
          <w:highlight w:val="none"/>
        </w:rPr>
      </w:r>
    </w:p>
    <w:p>
      <w:pPr>
        <w:pStyle w:val="1017"/>
        <w:rPr>
          <w:color w:val="auto"/>
          <w:highlight w:val="none"/>
        </w:rPr>
      </w:pPr>
      <w:r>
        <w:rPr>
          <w:color w:val="auto"/>
          <w:highlight w:val="none"/>
        </w:rPr>
      </w:r>
      <w:r>
        <w:rPr>
          <w:color w:val="auto"/>
          <w:highlight w:val="none"/>
        </w:rPr>
      </w:r>
    </w:p>
    <w:p>
      <w:pPr>
        <w:pStyle w:val="1017"/>
        <w:jc w:val="center"/>
        <w:rPr>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2510790" cy="3990975"/>
                <wp:effectExtent l="0" t="0" r="3810" b="9525"/>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2510904" cy="39915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7.7pt;height:314.2pt;mso-wrap-distance-left:0.0pt;mso-wrap-distance-top:0.0pt;mso-wrap-distance-right:0.0pt;mso-wrap-distance-bottom:0.0pt;" stroked="f">
                <v:path textboxrect="0,0,0,0"/>
                <v:imagedata r:id="rId17" o:title=""/>
              </v:shape>
            </w:pict>
          </mc:Fallback>
        </mc:AlternateContent>
      </w:r>
      <w:r>
        <w:rPr>
          <w:color w:val="auto"/>
          <w:highlight w:val="none"/>
        </w:rPr>
      </w:r>
    </w:p>
    <w:p>
      <w:pPr>
        <w:pStyle w:val="1017"/>
        <w:spacing w:line="27" w:lineRule="atLeast"/>
        <w:rPr>
          <w:color w:val="auto"/>
          <w:highlight w:val="none"/>
        </w:rPr>
      </w:pPr>
      <w:r>
        <w:rPr>
          <w:color w:val="auto"/>
          <w:highlight w:val="none"/>
        </w:rPr>
      </w:r>
      <w:r>
        <w:rPr>
          <w:color w:val="auto"/>
          <w:highlight w:val="none"/>
        </w:rPr>
      </w:r>
    </w:p>
    <w:p>
      <w:pPr>
        <w:pStyle w:val="1017"/>
        <w:ind w:firstLine="440"/>
        <w:spacing w:line="27" w:lineRule="atLeast"/>
        <w:rPr>
          <w:rFonts w:hint="eastAsia" w:ascii="仿宋" w:hAnsi="仿宋" w:eastAsia="仿宋" w:cs="仿宋"/>
          <w:color w:val="auto"/>
          <w:highlight w:val="none"/>
        </w:rPr>
      </w:pPr>
      <w:r>
        <w:rPr>
          <w:rFonts w:hint="eastAsia" w:ascii="仿宋" w:hAnsi="仿宋" w:eastAsia="仿宋" w:cs="仿宋"/>
          <w:color w:val="auto"/>
          <w:sz w:val="22"/>
          <w:szCs w:val="22"/>
          <w:highlight w:val="none"/>
        </w:rPr>
        <w:t xml:space="preserve">为方便中小企业和社会各界使用自测结果，小程序增加自测结果打印功能，测试者可按照小程序填写测试企业有关信息并完成自测后，保存自测结果自行打印。</w:t>
      </w:r>
      <w:r>
        <w:rPr>
          <w:rFonts w:hint="eastAsia" w:ascii="仿宋" w:hAnsi="仿宋" w:eastAsia="仿宋" w:cs="仿宋"/>
          <w:color w:val="auto"/>
          <w:highlight w:val="none"/>
        </w:rPr>
        <w:t xml:space="preserve"> </w:t>
      </w:r>
      <w:r>
        <w:rPr>
          <w:color w:val="auto"/>
          <w:highlight w:val="none"/>
        </w:rPr>
      </w:r>
    </w:p>
    <w:p>
      <w:pPr>
        <w:pStyle w:val="1017"/>
        <w:ind w:firstLine="440"/>
        <w:spacing w:line="27" w:lineRule="atLeas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如有疑问，可与市工信局中小企业综合协调处咨询联系。联系电话：0516-83861958</w:t>
      </w:r>
      <w:r>
        <w:rPr>
          <w:color w:val="auto"/>
          <w:highlight w:val="none"/>
        </w:rPr>
      </w:r>
    </w:p>
    <w:p>
      <w:pPr>
        <w:pStyle w:val="1017"/>
        <w:ind w:firstLine="440"/>
        <w:spacing w:line="27" w:lineRule="atLeas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p>
      <w:pPr>
        <w:pStyle w:val="1017"/>
        <w:spacing w:line="27" w:lineRule="atLeas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p>
      <w:pPr>
        <w:pStyle w:val="1017"/>
        <w:ind w:firstLine="440"/>
        <w:spacing w:line="27" w:lineRule="atLeas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highlight w:val="none"/>
        </w:rPr>
      </w:r>
    </w:p>
    <w:p>
      <w:pPr>
        <w:jc w:val="center"/>
        <w:spacing w:line="360" w:lineRule="auto"/>
        <w:rPr>
          <w:rFonts w:hint="eastAsia" w:ascii="仿宋" w:hAnsi="仿宋" w:eastAsia="仿宋" w:cs="仿宋"/>
          <w:b/>
          <w:bCs/>
          <w:color w:val="auto"/>
          <w:spacing w:val="6"/>
          <w:sz w:val="32"/>
          <w:szCs w:val="32"/>
          <w:highlight w:val="none"/>
        </w:rPr>
      </w:pPr>
      <w:r>
        <w:rPr>
          <w:rFonts w:hint="eastAsia" w:ascii="仿宋" w:hAnsi="仿宋" w:eastAsia="仿宋" w:cs="仿宋"/>
          <w:b/>
          <w:bCs/>
          <w:color w:val="auto"/>
          <w:sz w:val="28"/>
          <w:szCs w:val="28"/>
          <w:highlight w:val="none"/>
        </w:rPr>
        <w:t xml:space="preserve">十二.残疾人福利性单位声明函</w:t>
      </w:r>
      <w:r>
        <w:rPr>
          <w:color w:val="auto"/>
          <w:highlight w:val="none"/>
        </w:rP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jc w:val="left"/>
        <w:spacing w:line="360" w:lineRule="auto"/>
        <w:widowControl/>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eastAsia="zh-CN"/>
        </w:rPr>
        <w:t xml:space="preserve">智能化公厕采购项目</w:t>
      </w:r>
      <w:r>
        <w:rPr>
          <w:rFonts w:hint="eastAsia" w:ascii="仿宋" w:hAnsi="仿宋" w:eastAsia="仿宋" w:cs="仿宋"/>
          <w:color w:val="auto"/>
          <w:sz w:val="24"/>
          <w:highlight w:val="none"/>
          <w:u w:val="single"/>
        </w:rPr>
        <w:t xml:space="preserve"> </w:t>
      </w:r>
      <w:r>
        <w:rPr>
          <w:color w:val="auto"/>
          <w:highlight w:val="none"/>
        </w:rPr>
      </w:r>
    </w:p>
    <w:p>
      <w:pPr>
        <w:jc w:val="left"/>
        <w:spacing w:line="360" w:lineRule="auto"/>
        <w:widowControl/>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 </w:t>
      </w:r>
      <w:r>
        <w:rPr>
          <w:rFonts w:hint="eastAsia" w:ascii="仿宋" w:hAnsi="仿宋" w:eastAsia="仿宋" w:cs="仿宋"/>
          <w:color w:val="auto"/>
          <w:sz w:val="24"/>
          <w:highlight w:val="none"/>
          <w:u w:val="single"/>
          <w:lang w:eastAsia="zh-CN"/>
        </w:rPr>
        <w:t xml:space="preserve">JSZC-320322-XZZS-G2025-0001</w:t>
      </w:r>
      <w:r>
        <w:rPr>
          <w:rFonts w:hint="eastAsia" w:ascii="仿宋" w:hAnsi="仿宋" w:eastAsia="仿宋" w:cs="仿宋"/>
          <w:color w:val="auto"/>
          <w:sz w:val="24"/>
          <w:highlight w:val="none"/>
          <w:u w:val="single"/>
        </w:rPr>
        <w:t xml:space="preserve"> </w:t>
      </w:r>
      <w:r>
        <w:rPr>
          <w:color w:val="auto"/>
          <w:highlight w:val="none"/>
        </w:rP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rPr>
          <w:color w:val="auto"/>
          <w:highlight w:val="none"/>
        </w:rPr>
      </w:r>
    </w:p>
    <w:p>
      <w:pPr>
        <w:ind w:firstLine="504"/>
        <w:jc w:val="left"/>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〔2017〕141</w:t>
      </w:r>
      <w:r>
        <w:rPr>
          <w:rFonts w:hint="eastAsia" w:ascii="仿宋" w:hAnsi="仿宋" w:eastAsia="仿宋" w:cs="仿宋"/>
          <w:color w:val="auto"/>
          <w:spacing w:val="6"/>
          <w:sz w:val="24"/>
          <w:highlight w:val="none"/>
        </w:rPr>
        <w:t xml:space="preserve">号）的规定，本单位为符合条件的残疾人福利性单位，且本单位参加</w:t>
      </w:r>
      <w:r>
        <w:rPr>
          <w:rFonts w:hint="eastAsia" w:ascii="仿宋" w:hAnsi="仿宋" w:eastAsia="仿宋" w:cs="仿宋"/>
          <w:color w:val="auto"/>
          <w:sz w:val="24"/>
          <w:highlight w:val="none"/>
        </w:rPr>
        <w:t xml:space="preserve">______</w:t>
      </w:r>
      <w:r>
        <w:rPr>
          <w:rFonts w:hint="eastAsia" w:ascii="仿宋" w:hAnsi="仿宋" w:eastAsia="仿宋" w:cs="仿宋"/>
          <w:color w:val="auto"/>
          <w:spacing w:val="6"/>
          <w:sz w:val="24"/>
          <w:highlight w:val="none"/>
        </w:rPr>
        <w:t xml:space="preserve">单位的</w:t>
      </w:r>
      <w:r>
        <w:rPr>
          <w:rFonts w:hint="eastAsia" w:ascii="仿宋" w:hAnsi="仿宋" w:eastAsia="仿宋" w:cs="仿宋"/>
          <w:color w:val="auto"/>
          <w:sz w:val="24"/>
          <w:highlight w:val="none"/>
        </w:rPr>
        <w:t xml:space="preserve">______</w:t>
      </w:r>
      <w:r>
        <w:rPr>
          <w:rFonts w:hint="eastAsia" w:ascii="仿宋" w:hAnsi="仿宋" w:eastAsia="仿宋" w:cs="仿宋"/>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p>
    <w:p>
      <w:pPr>
        <w:ind w:firstLine="504"/>
        <w:jc w:val="left"/>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rPr>
          <w:color w:val="auto"/>
          <w:highlight w:val="none"/>
        </w:rP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rPr>
          <w:color w:val="auto"/>
          <w:highlight w:val="none"/>
        </w:rP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rPr>
          <w:color w:val="auto"/>
          <w:highlight w:val="none"/>
        </w:rPr>
      </w:r>
    </w:p>
    <w:p>
      <w:pPr>
        <w:ind w:firstLine="3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color w:val="auto"/>
          <w:highlight w:val="none"/>
        </w:rPr>
      </w:r>
    </w:p>
    <w:p>
      <w:pPr>
        <w:ind w:firstLine="3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600"/>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highlight w:val="none"/>
        </w:rPr>
      </w:r>
    </w:p>
    <w:p>
      <w:pPr>
        <w:ind w:firstLine="600"/>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highlight w:val="none"/>
        </w:rPr>
      </w:r>
    </w:p>
    <w:p>
      <w:pPr>
        <w:pStyle w:val="1012"/>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rPr>
          <w:rFonts w:hint="eastAsia" w:ascii="仿宋" w:hAnsi="仿宋" w:cs="仿宋"/>
          <w:color w:val="auto"/>
          <w:sz w:val="30"/>
          <w:szCs w:val="30"/>
          <w:highlight w:val="none"/>
        </w:rPr>
      </w:pPr>
      <w:r>
        <w:rPr>
          <w:rFonts w:hint="eastAsia" w:ascii="仿宋" w:hAnsi="仿宋" w:cs="仿宋"/>
          <w:color w:val="auto"/>
          <w:sz w:val="30"/>
          <w:szCs w:val="30"/>
          <w:highlight w:val="none"/>
        </w:rPr>
        <w:br w:type="page" w:clear="all"/>
      </w:r>
      <w:r>
        <w:rPr>
          <w:color w:val="auto"/>
          <w:highlight w:val="none"/>
        </w:rPr>
      </w:r>
    </w:p>
    <w:p>
      <w:pPr>
        <w:pStyle w:val="1012"/>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pStyle w:val="1012"/>
        <w:rPr>
          <w:rFonts w:hint="eastAsia" w:ascii="仿宋" w:hAnsi="仿宋" w:cs="仿宋"/>
          <w:color w:val="auto"/>
          <w:sz w:val="30"/>
          <w:szCs w:val="30"/>
          <w:highlight w:val="none"/>
        </w:rPr>
      </w:pPr>
      <w:r>
        <w:rPr>
          <w:rFonts w:hint="eastAsia" w:ascii="仿宋" w:hAnsi="仿宋" w:cs="仿宋"/>
          <w:color w:val="auto"/>
          <w:sz w:val="30"/>
          <w:szCs w:val="30"/>
          <w:highlight w:val="none"/>
        </w:rPr>
      </w:r>
      <w:r>
        <w:rPr>
          <w:color w:val="auto"/>
          <w:highlight w:val="none"/>
        </w:rPr>
      </w:r>
    </w:p>
    <w:p>
      <w:pPr>
        <w:rPr>
          <w:rFonts w:hint="eastAsia"/>
          <w:color w:val="auto"/>
          <w:highlight w:val="none"/>
        </w:rPr>
      </w:pPr>
      <w:r>
        <w:rPr>
          <w:rFonts w:hint="eastAsia"/>
          <w:color w:val="auto"/>
          <w:highlight w:val="none"/>
        </w:rPr>
      </w:r>
      <w:r>
        <w:rPr>
          <w:color w:val="auto"/>
          <w:highlight w:val="none"/>
        </w:rPr>
      </w:r>
    </w:p>
    <w:p>
      <w:pPr>
        <w:pStyle w:val="1012"/>
        <w:rPr>
          <w:rFonts w:hint="eastAsia"/>
          <w:color w:val="auto"/>
          <w:highlight w:val="none"/>
        </w:rPr>
      </w:pPr>
      <w:r>
        <w:rPr>
          <w:rFonts w:hint="eastAsia"/>
          <w:color w:val="auto"/>
          <w:highlight w:val="none"/>
        </w:rPr>
      </w:r>
      <w:r>
        <w:rPr>
          <w:color w:val="auto"/>
          <w:highlight w:val="none"/>
        </w:rPr>
      </w:r>
    </w:p>
    <w:p>
      <w:pPr>
        <w:pStyle w:val="1012"/>
        <w:rPr>
          <w:rFonts w:hint="eastAsia"/>
          <w:color w:val="auto"/>
          <w:highlight w:val="none"/>
        </w:rPr>
      </w:pPr>
      <w:r>
        <w:rPr>
          <w:rFonts w:hint="eastAsia"/>
          <w:color w:val="auto"/>
          <w:highlight w:val="none"/>
        </w:rPr>
      </w:r>
      <w:r>
        <w:rPr>
          <w:color w:val="auto"/>
          <w:highlight w:val="none"/>
        </w:rPr>
      </w:r>
    </w:p>
    <w:p>
      <w:pPr>
        <w:pStyle w:val="1012"/>
        <w:rPr>
          <w:rFonts w:hint="eastAsia"/>
          <w:color w:val="auto"/>
          <w:highlight w:val="none"/>
        </w:rPr>
      </w:pPr>
      <w:r>
        <w:rPr>
          <w:rFonts w:hint="eastAsia"/>
          <w:color w:val="auto"/>
          <w:highlight w:val="none"/>
        </w:rPr>
      </w:r>
      <w:r>
        <w:rPr>
          <w:color w:val="auto"/>
          <w:highlight w:val="none"/>
        </w:rPr>
      </w:r>
    </w:p>
    <w:p>
      <w:pPr>
        <w:pStyle w:val="1012"/>
        <w:rPr>
          <w:rFonts w:hint="eastAsia"/>
          <w:color w:val="auto"/>
          <w:highlight w:val="none"/>
        </w:rPr>
      </w:pPr>
      <w:r>
        <w:rPr>
          <w:rFonts w:hint="eastAsia"/>
          <w:color w:val="auto"/>
          <w:highlight w:val="none"/>
        </w:rPr>
      </w:r>
      <w:r>
        <w:rPr>
          <w:color w:val="auto"/>
          <w:highlight w:val="none"/>
        </w:rP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十三.监狱企业证明材料</w:t>
      </w:r>
      <w:r>
        <w:rPr>
          <w:color w:val="auto"/>
          <w:highlight w:val="none"/>
        </w:rPr>
      </w:r>
    </w:p>
    <w:p>
      <w:pPr>
        <w:spacing w:line="38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rPr>
          <w:color w:val="auto"/>
          <w:highlight w:val="none"/>
        </w:rPr>
      </w:r>
    </w:p>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JSZC-320322-XZZS-G2025-0001</w:t>
      </w:r>
      <w:r>
        <w:rPr>
          <w:color w:val="auto"/>
          <w:highlight w:val="none"/>
        </w:rPr>
      </w:r>
    </w:p>
    <w:p>
      <w:pPr>
        <w:pStyle w:val="1012"/>
        <w:ind w:firstLine="643"/>
        <w:rPr>
          <w:rFonts w:hint="eastAsia" w:ascii="仿宋" w:hAnsi="仿宋" w:cs="仿宋"/>
          <w:b/>
          <w:color w:val="auto"/>
          <w:sz w:val="32"/>
          <w:szCs w:val="32"/>
          <w:highlight w:val="none"/>
        </w:rPr>
      </w:pPr>
      <w:r>
        <w:rPr>
          <w:rFonts w:hint="eastAsia" w:ascii="仿宋" w:hAnsi="仿宋" w:cs="仿宋"/>
          <w:b/>
          <w:color w:val="auto"/>
          <w:sz w:val="32"/>
          <w:szCs w:val="32"/>
          <w:highlight w:val="none"/>
        </w:rPr>
      </w:r>
      <w:r>
        <w:rPr>
          <w:color w:val="auto"/>
          <w:highlight w:val="none"/>
        </w:rPr>
      </w:r>
    </w:p>
    <w:p>
      <w:pPr>
        <w:pStyle w:val="1012"/>
        <w:ind w:firstLine="643"/>
        <w:rPr>
          <w:rFonts w:hint="eastAsia" w:ascii="仿宋" w:hAnsi="仿宋" w:cs="仿宋"/>
          <w:b/>
          <w:color w:val="auto"/>
          <w:sz w:val="32"/>
          <w:szCs w:val="32"/>
          <w:highlight w:val="none"/>
        </w:rPr>
      </w:pPr>
      <w:r>
        <w:rPr>
          <w:rFonts w:hint="eastAsia" w:ascii="仿宋" w:hAnsi="仿宋" w:cs="仿宋"/>
          <w:b/>
          <w:color w:val="auto"/>
          <w:sz w:val="32"/>
          <w:szCs w:val="32"/>
          <w:highlight w:val="none"/>
        </w:rPr>
      </w:r>
      <w:r>
        <w:rPr>
          <w:color w:val="auto"/>
          <w:highlight w:val="none"/>
        </w:rPr>
      </w:r>
    </w:p>
    <w:p>
      <w:pPr>
        <w:pStyle w:val="1010"/>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监狱企业参加政府采购活动时，应当提供由省级以上监狱管理局、戒毒管理局（含新疆生产建设兵团）出具的属于监狱企业的证明文件。</w:t>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color w:val="auto"/>
          <w:highlight w:val="none"/>
        </w:rPr>
      </w:r>
    </w:p>
    <w:p>
      <w:pPr>
        <w:pStyle w:val="101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color w:val="auto"/>
          <w:highlight w:val="none"/>
        </w:rPr>
      </w:r>
    </w:p>
    <w:p>
      <w:pPr>
        <w:pStyle w:val="1010"/>
        <w:ind w:firstLine="210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投标人名称（公章）：       </w:t>
      </w:r>
      <w:r>
        <w:rPr>
          <w:color w:val="auto"/>
          <w:highlight w:val="none"/>
        </w:rPr>
      </w:r>
    </w:p>
    <w:p>
      <w:pPr>
        <w:pStyle w:val="1010"/>
        <w:ind w:firstLine="210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日  期：  年    月   日 </w:t>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pStyle w:val="1033"/>
        <w:ind w:firstLine="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rPr>
          <w:rFonts w:hint="eastAsia" w:ascii="仿宋" w:hAnsi="仿宋" w:cs="仿宋"/>
          <w:color w:val="auto"/>
          <w:szCs w:val="28"/>
          <w:highlight w:val="none"/>
        </w:rPr>
      </w:pPr>
      <w:r>
        <w:rPr>
          <w:rFonts w:hint="eastAsia" w:ascii="仿宋" w:hAnsi="仿宋" w:cs="仿宋"/>
          <w:color w:val="auto"/>
          <w:szCs w:val="28"/>
          <w:highlight w:val="none"/>
        </w:rPr>
        <w:br w:type="page" w:clear="all"/>
      </w:r>
      <w:r>
        <w:rPr>
          <w:color w:val="auto"/>
          <w:highlight w:val="none"/>
        </w:rPr>
      </w:r>
    </w:p>
    <w:p>
      <w:pPr>
        <w:pStyle w:val="1033"/>
        <w:ind w:firstLine="0"/>
        <w:jc w:val="center"/>
        <w:rPr>
          <w:rFonts w:ascii="仿宋" w:hAnsi="仿宋" w:eastAsia="仿宋" w:cs="仿宋"/>
          <w:b/>
          <w:bCs/>
          <w:color w:val="auto"/>
          <w:sz w:val="24"/>
          <w:szCs w:val="24"/>
          <w:highlight w:val="none"/>
        </w:rPr>
      </w:pPr>
      <w:r>
        <w:rPr>
          <w:rFonts w:ascii="仿宋" w:hAnsi="仿宋" w:eastAsia="仿宋" w:cs="仿宋"/>
          <w:b/>
          <w:bCs/>
          <w:color w:val="auto"/>
          <w:sz w:val="28"/>
          <w:szCs w:val="28"/>
          <w:highlight w:val="none"/>
        </w:rPr>
        <w:t xml:space="preserve">十四.预付款保函支付条款</w:t>
      </w:r>
      <w:r>
        <w:rPr>
          <w:color w:val="auto"/>
          <w:highlight w:val="none"/>
        </w:rP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rPr>
          <w:color w:val="auto"/>
          <w:highlight w:val="none"/>
        </w:rP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付款条件一：提交预付款保函的</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（1）合同签订且乙方向甲方出具预付款保函后个</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工作日内，甲方应支付合同价款的百分之</w:t>
      </w:r>
      <w:r>
        <w:rPr>
          <w:rFonts w:hint="eastAsia" w:ascii="仿宋" w:hAnsi="仿宋" w:eastAsia="仿宋" w:cs="仿宋"/>
          <w:color w:val="auto"/>
          <w:sz w:val="24"/>
          <w:highlight w:val="none"/>
          <w:u w:val="single"/>
        </w:rPr>
        <w:t xml:space="preserve">  XX  （ XX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XX （XX</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color w:val="auto"/>
          <w:highlight w:val="none"/>
        </w:rP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rPr>
          <w:color w:val="auto"/>
          <w:highlight w:val="none"/>
        </w:rP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付款条件二：不提交预付款保函的</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XX （ XX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XX （XX</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注：1、付款条件一中，出具预付款保函后支付的合同款应当与保函金额一致。</w:t>
      </w:r>
      <w:r>
        <w:rPr>
          <w:color w:val="auto"/>
          <w:highlight w:val="none"/>
        </w:rPr>
      </w:r>
    </w:p>
    <w:p>
      <w:pPr>
        <w:numPr>
          <w:ilvl w:val="0"/>
          <w:numId w:val="9"/>
        </w:num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付款条件二中，预付款比例设定应符合《关于做好政府采购支持企业发展有关事项的通知》（苏财购〔2020〕52号）要求。</w:t>
      </w:r>
      <w:r>
        <w:rPr>
          <w:color w:val="auto"/>
          <w:highlight w:val="none"/>
        </w:rPr>
      </w:r>
    </w:p>
    <w:p>
      <w:pPr>
        <w:pStyle w:val="1012"/>
        <w:ind w:left="0" w:firstLine="0"/>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pStyle w:val="1012"/>
        <w:ind w:left="0" w:firstLine="0"/>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pStyle w:val="1012"/>
        <w:ind w:left="0" w:firstLine="0"/>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pStyle w:val="1012"/>
        <w:ind w:left="0" w:firstLine="0"/>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pStyle w:val="1012"/>
        <w:ind w:left="0" w:firstLine="0"/>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pStyle w:val="1012"/>
        <w:ind w:left="0" w:firstLine="0"/>
        <w:rPr>
          <w:rFonts w:hint="eastAsia" w:ascii="仿宋" w:hAnsi="仿宋" w:cs="仿宋"/>
          <w:color w:val="auto"/>
          <w:highlight w:val="none"/>
        </w:rPr>
      </w:pPr>
      <w:r>
        <w:rPr>
          <w:rFonts w:hint="eastAsia" w:ascii="仿宋" w:hAnsi="仿宋" w:cs="仿宋"/>
          <w:color w:val="auto"/>
          <w:highlight w:val="none"/>
        </w:rPr>
      </w:r>
      <w:r>
        <w:rPr>
          <w:color w:val="auto"/>
          <w:highlight w:val="none"/>
        </w:rPr>
      </w:r>
    </w:p>
    <w:p>
      <w:pPr>
        <w:rPr>
          <w:rFonts w:hint="eastAsia" w:ascii="仿宋" w:hAnsi="仿宋" w:cs="仿宋"/>
          <w:color w:val="auto"/>
          <w:szCs w:val="28"/>
          <w:highlight w:val="none"/>
        </w:rPr>
      </w:pPr>
      <w:r>
        <w:rPr>
          <w:rFonts w:hint="eastAsia" w:ascii="仿宋" w:hAnsi="仿宋" w:cs="仿宋"/>
          <w:color w:val="auto"/>
          <w:szCs w:val="28"/>
          <w:highlight w:val="none"/>
        </w:rPr>
        <w:br w:type="page" w:clear="all"/>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12"/>
        <w:rPr>
          <w:rFonts w:hint="eastAsia" w:ascii="仿宋" w:hAnsi="仿宋" w:cs="仿宋"/>
          <w:color w:val="auto"/>
          <w:szCs w:val="28"/>
          <w:highlight w:val="none"/>
        </w:rPr>
      </w:pPr>
      <w:r>
        <w:rPr>
          <w:rFonts w:hint="eastAsia" w:ascii="仿宋" w:hAnsi="仿宋" w:cs="仿宋"/>
          <w:color w:val="auto"/>
          <w:szCs w:val="28"/>
          <w:highlight w:val="none"/>
        </w:rPr>
      </w:r>
      <w:r>
        <w:rPr>
          <w:color w:val="auto"/>
          <w:highlight w:val="none"/>
        </w:rPr>
      </w:r>
    </w:p>
    <w:p>
      <w:pPr>
        <w:pStyle w:val="1033"/>
        <w:ind w:firstLine="0"/>
        <w:jc w:val="cente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十五.投标人信用承诺书</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为维护公开、公平、公正的政府采购市场秩序，树立诚实守信的投标人形象，本单位在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）采购过程中自愿作出以下承诺：  </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1、本单位在该项目采购过程中秉承诚实守信、合法经营的原则开展工作，严格遵守《中华人民共和国政府采购法》等国家法律法规和规章的规定，自觉接受相关部门和社会公众的监督。</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2、本单位提供给注册登记部门、行业管理部门、司法部门以及采购代理机构的所有资料均合法、真实、有效，无任何伪造、修改、虚假成分，不提供虚假材料谋取中标、成交，并对所提供资料的真实性负责。</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3、不与采购人或采购代理机构或政府采购评审专家或其他投标人或其他政府采购相关人员恶意串通，不向以上相关人员行贿或者提供不正当利益。</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4、中标、成交通知书发出后，无正当理由不拒绝与采购人签订政府采购合同。</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5、中标、成交通知书发出后，按照采购文件确定的事项，在规定的时间内与采购人签订采购合同，不向采购人提出不合理的要求作为签订合同的条件。</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6、不将政府采购合同转包，或者采购人允许采用分包方式履行合同的，不将合同的主体和关键部分分包给其他投标人。</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7、不提供假冒伪劣产品，不存在偷工减料情形，严格履行合同义务。</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8、不擅自变更、中止或者终止政府采购合同。</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9、不采用捏造事实、提供虚假材料或者以非法手段取得证明材料等方式进行虚假、恶意质疑和投诉。</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10、自觉接受有关部门依法实施的监督检查，在监督检查中提供真实有效的情况。</w:t>
      </w:r>
      <w:r>
        <w:rPr>
          <w:color w:val="auto"/>
          <w:highlight w:val="none"/>
        </w:rPr>
      </w:r>
    </w:p>
    <w:p>
      <w:pPr>
        <w:ind w:right="1680" w:firstLine="48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承诺单位（盖章）：</w:t>
      </w:r>
      <w:r>
        <w:rPr>
          <w:color w:val="auto"/>
          <w:highlight w:val="none"/>
        </w:rPr>
      </w:r>
    </w:p>
    <w:p>
      <w:pPr>
        <w:ind w:right="1200" w:firstLine="48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w:t>
      </w:r>
      <w:r>
        <w:rPr>
          <w:color w:val="auto"/>
          <w:highlight w:val="none"/>
        </w:rPr>
      </w:r>
    </w:p>
    <w:p>
      <w:pPr>
        <w:ind w:right="960" w:firstLine="57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rPr>
          <w:color w:val="auto"/>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color w:val="auto"/>
          <w:highlight w:val="none"/>
        </w:rPr>
      </w:r>
    </w:p>
    <w:p>
      <w:pPr>
        <w:rPr>
          <w:rFonts w:hint="eastAsia"/>
          <w:color w:val="auto"/>
          <w:highlight w:val="none"/>
        </w:rPr>
      </w:pPr>
      <w:r>
        <w:rPr>
          <w:rFonts w:hint="eastAsia"/>
          <w:color w:val="auto"/>
          <w:highlight w:val="none"/>
        </w:rPr>
      </w:r>
      <w:r>
        <w:rPr>
          <w:color w:val="auto"/>
          <w:highlight w:val="none"/>
        </w:rPr>
      </w:r>
    </w:p>
    <w:p>
      <w:pPr>
        <w:pStyle w:val="1034"/>
        <w:ind w:left="0" w:firstLine="0"/>
        <w:jc w:val="center"/>
        <w:tabs>
          <w:tab w:val="left" w:pos="1260" w:leader="none"/>
        </w:tabs>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十六.</w:t>
      </w:r>
      <w:r>
        <w:rPr>
          <w:rFonts w:hint="eastAsia" w:ascii="仿宋" w:hAnsi="仿宋" w:eastAsia="仿宋" w:cs="仿宋"/>
          <w:color w:val="auto"/>
          <w:highlight w:val="none"/>
        </w:rPr>
        <w:t xml:space="preserve">投标人基本情况表</w:t>
      </w:r>
      <w:r>
        <w:rPr>
          <w:color w:val="auto"/>
          <w:highlight w:val="none"/>
        </w:rPr>
      </w:r>
    </w:p>
    <w:tbl>
      <w:tblPr>
        <w:tblStyle w:val="1004"/>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jc w:val="center"/>
          <w:trHeight w:val="561"/>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投标人名称</w:t>
            </w:r>
            <w:r>
              <w:rPr>
                <w:color w:val="auto"/>
                <w:highlight w:val="none"/>
              </w:rPr>
            </w:r>
          </w:p>
        </w:tc>
        <w:tc>
          <w:tcPr>
            <w:gridSpan w:val="6"/>
            <w:tcW w:w="658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jc w:val="center"/>
          <w:trHeight w:val="611"/>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注册地址</w:t>
            </w:r>
            <w:r>
              <w:rPr>
                <w:color w:val="auto"/>
                <w:highlight w:val="none"/>
              </w:rPr>
            </w:r>
          </w:p>
        </w:tc>
        <w:tc>
          <w:tcPr>
            <w:gridSpan w:val="3"/>
            <w:tcW w:w="3248"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c>
          <w:tcPr>
            <w:tcW w:w="127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邮政编码</w:t>
            </w:r>
            <w:r>
              <w:rPr>
                <w:color w:val="auto"/>
                <w:highlight w:val="none"/>
              </w:rPr>
            </w:r>
          </w:p>
        </w:tc>
        <w:tc>
          <w:tcPr>
            <w:gridSpan w:val="2"/>
            <w:tcW w:w="2058"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cantSplit/>
          <w:jc w:val="center"/>
          <w:trHeight w:val="605"/>
        </w:trPr>
        <w:tc>
          <w:tcPr>
            <w:tcW w:w="1986" w:type="dxa"/>
            <w:vAlign w:val="center"/>
            <w:vMerge w:val="restart"/>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联系方式</w:t>
            </w:r>
            <w:r>
              <w:rPr>
                <w:color w:val="auto"/>
                <w:highlight w:val="none"/>
              </w:rPr>
            </w:r>
          </w:p>
        </w:tc>
        <w:tc>
          <w:tcPr>
            <w:tcW w:w="109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联系人</w:t>
            </w:r>
            <w:r>
              <w:rPr>
                <w:color w:val="auto"/>
                <w:highlight w:val="none"/>
              </w:rPr>
            </w:r>
          </w:p>
        </w:tc>
        <w:tc>
          <w:tcPr>
            <w:gridSpan w:val="2"/>
            <w:tcW w:w="215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c>
          <w:tcPr>
            <w:tcW w:w="127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电　话</w:t>
            </w:r>
            <w:r>
              <w:rPr>
                <w:color w:val="auto"/>
                <w:highlight w:val="none"/>
              </w:rPr>
            </w:r>
          </w:p>
        </w:tc>
        <w:tc>
          <w:tcPr>
            <w:gridSpan w:val="2"/>
            <w:tcW w:w="2058"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cantSplit/>
          <w:jc w:val="center"/>
          <w:trHeight w:val="613"/>
        </w:trPr>
        <w:tc>
          <w:tcPr>
            <w:tcW w:w="1986"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9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传  真</w:t>
            </w:r>
            <w:r>
              <w:rPr>
                <w:color w:val="auto"/>
                <w:highlight w:val="none"/>
              </w:rPr>
            </w:r>
          </w:p>
        </w:tc>
        <w:tc>
          <w:tcPr>
            <w:gridSpan w:val="2"/>
            <w:tcW w:w="215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c>
          <w:tcPr>
            <w:tcW w:w="127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邮　箱</w:t>
            </w:r>
            <w:r>
              <w:rPr>
                <w:color w:val="auto"/>
                <w:highlight w:val="none"/>
              </w:rPr>
            </w:r>
          </w:p>
        </w:tc>
        <w:tc>
          <w:tcPr>
            <w:gridSpan w:val="2"/>
            <w:tcW w:w="2058"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jc w:val="center"/>
          <w:trHeight w:val="608"/>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w:t>
            </w:r>
            <w:r>
              <w:rPr>
                <w:color w:val="auto"/>
                <w:highlight w:val="none"/>
              </w:rPr>
            </w:r>
          </w:p>
        </w:tc>
        <w:tc>
          <w:tcPr>
            <w:tcW w:w="109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姓　名</w:t>
            </w:r>
            <w:r>
              <w:rPr>
                <w:color w:val="auto"/>
                <w:highlight w:val="none"/>
              </w:rPr>
            </w:r>
          </w:p>
        </w:tc>
        <w:tc>
          <w:tcPr>
            <w:tcW w:w="881"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c>
          <w:tcPr>
            <w:tcW w:w="1275"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技术职称</w:t>
            </w:r>
            <w:r>
              <w:rPr>
                <w:color w:val="auto"/>
                <w:highlight w:val="none"/>
              </w:rPr>
            </w:r>
          </w:p>
        </w:tc>
        <w:tc>
          <w:tcPr>
            <w:tcW w:w="127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c>
          <w:tcPr>
            <w:tcW w:w="106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电　话</w:t>
            </w:r>
            <w:r>
              <w:rPr>
                <w:color w:val="auto"/>
                <w:highlight w:val="none"/>
              </w:rPr>
            </w:r>
          </w:p>
        </w:tc>
        <w:tc>
          <w:tcPr>
            <w:tcW w:w="99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jc w:val="center"/>
          <w:trHeight w:val="602"/>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技术负责人</w:t>
            </w:r>
            <w:r>
              <w:rPr>
                <w:color w:val="auto"/>
                <w:highlight w:val="none"/>
              </w:rPr>
            </w:r>
          </w:p>
        </w:tc>
        <w:tc>
          <w:tcPr>
            <w:tcW w:w="109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姓　名</w:t>
            </w:r>
            <w:r>
              <w:rPr>
                <w:color w:val="auto"/>
                <w:highlight w:val="none"/>
              </w:rPr>
            </w:r>
          </w:p>
        </w:tc>
        <w:tc>
          <w:tcPr>
            <w:tcW w:w="881"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c>
          <w:tcPr>
            <w:tcW w:w="1275"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技术职称</w:t>
            </w:r>
            <w:r>
              <w:rPr>
                <w:color w:val="auto"/>
                <w:highlight w:val="none"/>
              </w:rPr>
            </w:r>
          </w:p>
        </w:tc>
        <w:tc>
          <w:tcPr>
            <w:tcW w:w="127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c>
          <w:tcPr>
            <w:tcW w:w="106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电　话</w:t>
            </w:r>
            <w:r>
              <w:rPr>
                <w:color w:val="auto"/>
                <w:highlight w:val="none"/>
              </w:rPr>
            </w:r>
          </w:p>
        </w:tc>
        <w:tc>
          <w:tcPr>
            <w:tcW w:w="99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jc w:val="center"/>
          <w:trHeight w:val="624"/>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成立时间</w:t>
            </w:r>
            <w:r>
              <w:rPr>
                <w:color w:val="auto"/>
                <w:highlight w:val="none"/>
              </w:rPr>
            </w:r>
          </w:p>
        </w:tc>
        <w:tc>
          <w:tcPr>
            <w:gridSpan w:val="2"/>
            <w:tcW w:w="1973"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c>
          <w:tcPr>
            <w:gridSpan w:val="4"/>
            <w:tcW w:w="4609"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员工总人数：</w:t>
            </w:r>
            <w:r>
              <w:rPr>
                <w:color w:val="auto"/>
                <w:highlight w:val="none"/>
              </w:rPr>
            </w:r>
          </w:p>
        </w:tc>
      </w:tr>
      <w:tr>
        <w:trPr>
          <w:cantSplit/>
          <w:jc w:val="center"/>
          <w:trHeight w:val="610"/>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营业执照号</w:t>
            </w:r>
            <w:r>
              <w:rPr>
                <w:color w:val="auto"/>
                <w:highlight w:val="none"/>
              </w:rPr>
            </w:r>
          </w:p>
        </w:tc>
        <w:tc>
          <w:tcPr>
            <w:gridSpan w:val="6"/>
            <w:tcW w:w="658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cantSplit/>
          <w:jc w:val="center"/>
          <w:trHeight w:val="604"/>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注册资金</w:t>
            </w:r>
            <w:r>
              <w:rPr>
                <w:color w:val="auto"/>
                <w:highlight w:val="none"/>
              </w:rPr>
            </w:r>
          </w:p>
        </w:tc>
        <w:tc>
          <w:tcPr>
            <w:gridSpan w:val="6"/>
            <w:tcW w:w="658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cantSplit/>
          <w:jc w:val="center"/>
          <w:trHeight w:val="626"/>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开户银行</w:t>
            </w:r>
            <w:r>
              <w:rPr>
                <w:color w:val="auto"/>
                <w:highlight w:val="none"/>
              </w:rPr>
            </w:r>
          </w:p>
        </w:tc>
        <w:tc>
          <w:tcPr>
            <w:gridSpan w:val="6"/>
            <w:tcW w:w="658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cantSplit/>
          <w:jc w:val="center"/>
          <w:trHeight w:val="606"/>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开户银行账户</w:t>
            </w:r>
            <w:r>
              <w:rPr>
                <w:color w:val="auto"/>
                <w:highlight w:val="none"/>
              </w:rPr>
            </w:r>
          </w:p>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名称</w:t>
            </w:r>
            <w:r>
              <w:rPr>
                <w:color w:val="auto"/>
                <w:highlight w:val="none"/>
              </w:rPr>
            </w:r>
          </w:p>
        </w:tc>
        <w:tc>
          <w:tcPr>
            <w:gridSpan w:val="6"/>
            <w:tcW w:w="658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cantSplit/>
          <w:jc w:val="center"/>
          <w:trHeight w:val="606"/>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账号</w:t>
            </w:r>
            <w:r>
              <w:rPr>
                <w:color w:val="auto"/>
                <w:highlight w:val="none"/>
              </w:rPr>
            </w:r>
          </w:p>
        </w:tc>
        <w:tc>
          <w:tcPr>
            <w:gridSpan w:val="6"/>
            <w:tcW w:w="658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jc w:val="center"/>
          <w:trHeight w:val="1565"/>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经营范围</w:t>
            </w:r>
            <w:r>
              <w:rPr>
                <w:color w:val="auto"/>
                <w:highlight w:val="none"/>
              </w:rPr>
            </w:r>
          </w:p>
        </w:tc>
        <w:tc>
          <w:tcPr>
            <w:gridSpan w:val="6"/>
            <w:tcW w:w="658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r>
        <w:trPr>
          <w:jc w:val="center"/>
          <w:trHeight w:val="847"/>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企业类型</w:t>
            </w:r>
            <w:r>
              <w:rPr>
                <w:color w:val="auto"/>
                <w:highlight w:val="none"/>
              </w:rPr>
            </w:r>
          </w:p>
        </w:tc>
        <w:tc>
          <w:tcPr>
            <w:gridSpan w:val="6"/>
            <w:tcW w:w="6582" w:type="dxa"/>
            <w:vAlign w:val="center"/>
            <w:textDirection w:val="lrTb"/>
            <w:noWrap w:val="false"/>
          </w:tcPr>
          <w:p>
            <w:pPr>
              <w:jc w:val="center"/>
              <w:spacing w:line="5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大型企业 </w:t>
            </w:r>
            <w:r>
              <w:rPr>
                <w:rFonts w:hint="eastAsia" w:ascii="仿宋" w:hAnsi="仿宋" w:eastAsia="仿宋" w:cs="仿宋"/>
                <w:b/>
                <w:color w:val="auto"/>
                <w:szCs w:val="21"/>
                <w:highlight w:val="none"/>
              </w:rPr>
              <w:t xml:space="preserve">□</w:t>
            </w:r>
            <w:r>
              <w:rPr>
                <w:rFonts w:hint="eastAsia" w:ascii="仿宋" w:hAnsi="仿宋" w:eastAsia="仿宋" w:cs="仿宋"/>
                <w:color w:val="auto"/>
                <w:highlight w:val="none"/>
              </w:rPr>
              <w:t xml:space="preserve">    中型企业 </w:t>
            </w:r>
            <w:r>
              <w:rPr>
                <w:rFonts w:hint="eastAsia" w:ascii="仿宋" w:hAnsi="仿宋" w:eastAsia="仿宋" w:cs="仿宋"/>
                <w:b/>
                <w:color w:val="auto"/>
                <w:szCs w:val="21"/>
                <w:highlight w:val="none"/>
              </w:rPr>
              <w:t xml:space="preserve">□</w:t>
            </w:r>
            <w:r>
              <w:rPr>
                <w:color w:val="auto"/>
                <w:highlight w:val="none"/>
              </w:rPr>
            </w:r>
          </w:p>
          <w:p>
            <w:pPr>
              <w:jc w:val="center"/>
              <w:spacing w:line="580" w:lineRule="exact"/>
              <w:rPr>
                <w:rFonts w:hint="eastAsia" w:ascii="仿宋" w:hAnsi="仿宋" w:eastAsia="仿宋" w:cs="仿宋"/>
                <w:color w:val="auto"/>
                <w:szCs w:val="21"/>
                <w:highlight w:val="none"/>
              </w:rPr>
            </w:pPr>
            <w:r>
              <w:rPr>
                <w:rFonts w:hint="eastAsia" w:ascii="仿宋" w:hAnsi="仿宋" w:eastAsia="仿宋" w:cs="仿宋"/>
                <w:color w:val="auto"/>
                <w:highlight w:val="none"/>
              </w:rPr>
              <w:t xml:space="preserve">小型企业 </w:t>
            </w:r>
            <w:r>
              <w:rPr>
                <w:rFonts w:hint="eastAsia" w:ascii="仿宋" w:hAnsi="仿宋" w:eastAsia="仿宋" w:cs="仿宋"/>
                <w:b/>
                <w:color w:val="auto"/>
                <w:szCs w:val="21"/>
                <w:highlight w:val="none"/>
              </w:rPr>
              <w:t xml:space="preserve">□</w:t>
            </w:r>
            <w:r>
              <w:rPr>
                <w:rFonts w:hint="eastAsia" w:ascii="仿宋" w:hAnsi="仿宋" w:eastAsia="仿宋" w:cs="仿宋"/>
                <w:color w:val="auto"/>
                <w:highlight w:val="none"/>
              </w:rPr>
              <w:t xml:space="preserve">    微型企业 </w:t>
            </w:r>
            <w:r>
              <w:rPr>
                <w:rFonts w:hint="eastAsia" w:ascii="仿宋" w:hAnsi="仿宋" w:eastAsia="仿宋" w:cs="仿宋"/>
                <w:b/>
                <w:color w:val="auto"/>
                <w:szCs w:val="21"/>
                <w:highlight w:val="none"/>
              </w:rPr>
              <w:t xml:space="preserve">□</w:t>
            </w:r>
            <w:r>
              <w:rPr>
                <w:color w:val="auto"/>
                <w:highlight w:val="none"/>
              </w:rPr>
            </w:r>
          </w:p>
        </w:tc>
      </w:tr>
      <w:tr>
        <w:trPr>
          <w:jc w:val="center"/>
          <w:trHeight w:val="615"/>
        </w:trPr>
        <w:tc>
          <w:tcPr>
            <w:tcW w:w="1986"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备注</w:t>
            </w:r>
            <w:r>
              <w:rPr>
                <w:color w:val="auto"/>
                <w:highlight w:val="none"/>
              </w:rPr>
            </w:r>
          </w:p>
        </w:tc>
        <w:tc>
          <w:tcPr>
            <w:gridSpan w:val="6"/>
            <w:tcW w:w="6582" w:type="dxa"/>
            <w:vAlign w:val="center"/>
            <w:textDirection w:val="lrTb"/>
            <w:noWrap w:val="false"/>
          </w:tcPr>
          <w:p>
            <w:pPr>
              <w:jc w:val="cente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rPr>
                <w:color w:val="auto"/>
                <w:highlight w:val="none"/>
              </w:rPr>
            </w:r>
          </w:p>
        </w:tc>
      </w:tr>
    </w:tbl>
    <w:p>
      <w:pPr>
        <w:pStyle w:val="1035"/>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35"/>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35"/>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color w:val="auto"/>
          <w:highlight w:val="none"/>
        </w:rPr>
      </w:r>
    </w:p>
    <w:p>
      <w:pPr>
        <w:pStyle w:val="1036"/>
        <w:jc w:val="center"/>
        <w:spacing w:before="100" w:beforeAutospacing="1" w:after="100" w:afterAutospacing="1"/>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color w:val="auto"/>
          <w:highlight w:val="none"/>
        </w:rPr>
      </w:r>
    </w:p>
    <w:p>
      <w:pPr>
        <w:pStyle w:val="1036"/>
        <w:jc w:val="center"/>
        <w:spacing w:before="100" w:beforeAutospacing="1" w:after="100" w:afterAutospacing="1"/>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十七.投标人相关承诺 </w:t>
      </w:r>
      <w:r>
        <w:rPr>
          <w:color w:val="auto"/>
          <w:highlight w:val="none"/>
        </w:rPr>
      </w:r>
    </w:p>
    <w:p>
      <w:pPr>
        <w:pStyle w:val="1036"/>
        <w:spacing w:before="100" w:beforeAutospacing="1" w:after="100" w:afterAutospacing="1"/>
        <w:widowControl/>
        <w:rPr>
          <w:color w:val="auto"/>
          <w:highlight w:val="none"/>
        </w:rPr>
      </w:pPr>
      <w:r>
        <w:rPr>
          <w:color w:val="auto"/>
          <w:highlight w:val="none"/>
        </w:rPr>
      </w:r>
      <w:r>
        <w:rPr>
          <w:color w:val="auto"/>
          <w:highlight w:val="none"/>
        </w:rPr>
      </w:r>
    </w:p>
    <w:p>
      <w:pPr>
        <w:pStyle w:val="1036"/>
        <w:spacing w:before="100" w:beforeAutospacing="1" w:after="100" w:afterAutospacing="1" w:line="588" w:lineRule="atLeas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u w:val="single"/>
        </w:rPr>
        <w:t xml:space="preserve">                            </w:t>
      </w:r>
      <w:r>
        <w:rPr>
          <w:color w:val="auto"/>
          <w:highlight w:val="none"/>
        </w:rPr>
      </w:r>
    </w:p>
    <w:p>
      <w:pPr>
        <w:pStyle w:val="1036"/>
        <w:spacing w:before="100" w:beforeAutospacing="1" w:after="100" w:afterAutospacing="1" w:line="588" w:lineRule="atLeas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rPr>
        <w:t xml:space="preserve">                            </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color w:val="auto"/>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 </w:t>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如有参与同一合同项下政府采购活动的投标人与我单位存在负责人为同一人的情况或者存在直接控股、管理关系，我单位不再参与该同一合同项下的政府采购活动。 </w:t>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我单位对上述承诺负责，并依法承担相应责任。 </w:t>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highlight w:val="none"/>
        </w:rPr>
      </w:r>
    </w:p>
    <w:p>
      <w:pPr>
        <w:ind w:firstLine="48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 （电子签章） </w:t>
      </w:r>
      <w:r>
        <w:rPr>
          <w:color w:val="auto"/>
          <w:highlight w:val="none"/>
        </w:rPr>
      </w:r>
    </w:p>
    <w:p>
      <w:pPr>
        <w:ind w:firstLine="48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 </w:t>
      </w:r>
      <w:r>
        <w:rPr>
          <w:color w:val="auto"/>
          <w:highlight w:val="none"/>
        </w:rPr>
      </w:r>
    </w:p>
    <w:p>
      <w:pPr>
        <w:pStyle w:val="1036"/>
        <w:jc w:val="center"/>
        <w:spacing w:before="100" w:beforeAutospacing="1" w:after="100" w:afterAutospacing="1"/>
        <w:widowControl/>
        <w:rPr>
          <w:color w:val="auto"/>
          <w:highlight w:val="none"/>
        </w:rPr>
      </w:pPr>
      <w:r>
        <w:rPr>
          <w:color w:val="auto"/>
          <w:highlight w:val="none"/>
        </w:rPr>
      </w:r>
      <w:r>
        <w:rPr>
          <w:color w:val="auto"/>
          <w:highlight w:val="none"/>
        </w:rPr>
      </w:r>
    </w:p>
    <w:p>
      <w:pPr>
        <w:pStyle w:val="1036"/>
        <w:jc w:val="center"/>
        <w:spacing w:before="100" w:beforeAutospacing="1" w:after="100" w:afterAutospacing="1"/>
        <w:widowControl/>
        <w:rPr>
          <w:color w:val="auto"/>
          <w:highlight w:val="none"/>
        </w:rPr>
      </w:pPr>
      <w:r>
        <w:rPr>
          <w:color w:val="auto"/>
          <w:highlight w:val="none"/>
        </w:rPr>
      </w:r>
      <w:r>
        <w:rPr>
          <w:color w:val="auto"/>
          <w:highlight w:val="none"/>
        </w:rPr>
      </w:r>
    </w:p>
    <w:p>
      <w:pPr>
        <w:pStyle w:val="1036"/>
        <w:jc w:val="center"/>
        <w:spacing w:before="100" w:beforeAutospacing="1" w:after="100" w:afterAutospacing="1"/>
        <w:widowControl/>
        <w:rPr>
          <w:color w:val="auto"/>
          <w:highlight w:val="none"/>
        </w:rPr>
      </w:pPr>
      <w:r>
        <w:rPr>
          <w:color w:val="auto"/>
          <w:highlight w:val="none"/>
        </w:rPr>
      </w:r>
      <w:r>
        <w:rPr>
          <w:color w:val="auto"/>
          <w:highlight w:val="none"/>
        </w:rPr>
      </w:r>
    </w:p>
    <w:p>
      <w:pPr>
        <w:pStyle w:val="1036"/>
        <w:jc w:val="center"/>
        <w:spacing w:before="100" w:beforeAutospacing="1" w:after="100" w:afterAutospacing="1"/>
        <w:widowControl/>
        <w:rPr>
          <w:color w:val="auto"/>
          <w:highlight w:val="none"/>
        </w:rPr>
      </w:pPr>
      <w:r>
        <w:rPr>
          <w:color w:val="auto"/>
          <w:highlight w:val="none"/>
        </w:rPr>
      </w:r>
      <w:r>
        <w:rPr>
          <w:color w:val="auto"/>
          <w:highlight w:val="none"/>
        </w:rPr>
      </w:r>
    </w:p>
    <w:p>
      <w:pPr>
        <w:pStyle w:val="1036"/>
        <w:jc w:val="center"/>
        <w:spacing w:before="100" w:beforeAutospacing="1" w:after="100" w:afterAutospacing="1"/>
        <w:widowControl/>
        <w:rPr>
          <w:color w:val="auto"/>
          <w:highlight w:val="none"/>
        </w:rPr>
      </w:pPr>
      <w:r>
        <w:rPr>
          <w:color w:val="auto"/>
          <w:highlight w:val="none"/>
        </w:rPr>
      </w:r>
      <w:r>
        <w:rPr>
          <w:color w:val="auto"/>
          <w:highlight w:val="none"/>
        </w:rPr>
      </w:r>
    </w:p>
    <w:p>
      <w:pPr>
        <w:pStyle w:val="1036"/>
        <w:jc w:val="center"/>
        <w:spacing w:before="100" w:beforeAutospacing="1" w:after="100" w:afterAutospacing="1"/>
        <w:widowControl/>
        <w:rPr>
          <w:color w:val="auto"/>
          <w:highlight w:val="none"/>
        </w:rPr>
      </w:pPr>
      <w:r>
        <w:rPr>
          <w:color w:val="auto"/>
          <w:highlight w:val="none"/>
        </w:rPr>
      </w:r>
      <w:r>
        <w:rPr>
          <w:color w:val="auto"/>
          <w:highlight w:val="none"/>
        </w:rP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color w:val="auto"/>
          <w:highlight w:val="none"/>
        </w:rPr>
      </w:r>
    </w:p>
    <w:p>
      <w:pPr>
        <w:pStyle w:val="1036"/>
        <w:jc w:val="center"/>
        <w:spacing w:before="100" w:beforeAutospacing="1" w:after="100" w:afterAutospacing="1"/>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十八.投标人书面声明 </w:t>
      </w:r>
      <w:r>
        <w:rPr>
          <w:color w:val="auto"/>
          <w:highlight w:val="none"/>
        </w:rPr>
      </w:r>
    </w:p>
    <w:p>
      <w:pPr>
        <w:pStyle w:val="1036"/>
        <w:spacing w:before="100" w:beforeAutospacing="1" w:after="100" w:afterAutospacing="1" w:line="588" w:lineRule="atLeas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u w:val="single"/>
        </w:rPr>
        <w:t xml:space="preserve">                            </w:t>
      </w:r>
      <w:r>
        <w:rPr>
          <w:color w:val="auto"/>
          <w:highlight w:val="none"/>
        </w:rPr>
      </w:r>
    </w:p>
    <w:p>
      <w:pPr>
        <w:pStyle w:val="1036"/>
        <w:spacing w:before="100" w:beforeAutospacing="1" w:after="100" w:afterAutospacing="1" w:line="588" w:lineRule="atLeas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rPr>
        <w:t xml:space="preserve">                            </w:t>
      </w:r>
      <w:r>
        <w:rPr>
          <w:color w:val="auto"/>
          <w:highlight w:val="none"/>
        </w:rPr>
      </w:r>
    </w:p>
    <w:p>
      <w:pPr>
        <w:pStyle w:val="1036"/>
        <w:spacing w:before="100" w:beforeAutospacing="1" w:after="100" w:afterAutospacing="1"/>
        <w:widowControl/>
        <w:rPr>
          <w:color w:val="auto"/>
          <w:highlight w:val="none"/>
        </w:rPr>
      </w:pPr>
      <w:r>
        <w:rPr>
          <w:color w:val="auto"/>
          <w:highlight w:val="none"/>
        </w:rPr>
        <w:t xml:space="preserve"> </w:t>
      </w:r>
      <w:r>
        <w:rPr>
          <w:color w:val="auto"/>
          <w:highlight w:val="none"/>
        </w:rPr>
      </w:r>
    </w:p>
    <w:p>
      <w:pPr>
        <w:pStyle w:val="1036"/>
        <w:ind w:firstLine="480"/>
        <w:jc w:val="left"/>
        <w:spacing w:before="100" w:beforeAutospacing="1" w:after="100" w:afterAutospacing="1"/>
        <w:widowControl/>
        <w:rPr>
          <w:color w:val="auto"/>
          <w:highlight w:val="none"/>
        </w:rPr>
      </w:pPr>
      <w:r>
        <w:rPr>
          <w:color w:val="auto"/>
          <w:highlight w:val="none"/>
        </w:rPr>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我单位不是为本采购项目提供整体设计、规范编制或者项目管理、监理、检测等服务的供应商。 </w:t>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 </w:t>
      </w:r>
      <w:r>
        <w:rPr>
          <w:color w:val="auto"/>
          <w:highlight w:val="none"/>
        </w:rP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我单位对上述声明的真实性负责。如有虚假，将依法承担相应责任。 </w:t>
      </w:r>
      <w:r>
        <w:rPr>
          <w:color w:val="auto"/>
          <w:highlight w:val="none"/>
        </w:rPr>
      </w:r>
    </w:p>
    <w:p>
      <w:pPr>
        <w:pStyle w:val="1036"/>
        <w:spacing w:before="100" w:beforeAutospacing="1" w:after="100" w:afterAutospacing="1"/>
        <w:widowControl/>
        <w:rPr>
          <w:color w:val="auto"/>
          <w:highlight w:val="none"/>
        </w:rPr>
      </w:pPr>
      <w:r>
        <w:rPr>
          <w:color w:val="auto"/>
          <w:highlight w:val="none"/>
        </w:rPr>
      </w:r>
      <w:r>
        <w:rPr>
          <w:color w:val="auto"/>
          <w:highlight w:val="none"/>
        </w:rPr>
      </w:r>
    </w:p>
    <w:p>
      <w:pPr>
        <w:pStyle w:val="1036"/>
        <w:ind w:firstLine="3000"/>
        <w:spacing w:before="100" w:beforeAutospacing="1" w:after="100" w:afterAutospacing="1" w:line="23" w:lineRule="atLeast"/>
        <w:widowControl/>
        <w:rPr>
          <w:color w:val="auto"/>
          <w:highlight w:val="none"/>
        </w:rPr>
      </w:pPr>
      <w:r>
        <w:rPr>
          <w:color w:val="auto"/>
          <w:highlight w:val="none"/>
        </w:rPr>
      </w:r>
      <w:r>
        <w:rPr>
          <w:color w:val="auto"/>
          <w:highlight w:val="none"/>
        </w:rPr>
      </w:r>
    </w:p>
    <w:p>
      <w:pPr>
        <w:pStyle w:val="1036"/>
        <w:spacing w:before="100" w:beforeAutospacing="1" w:after="100" w:afterAutospacing="1"/>
        <w:widowControl/>
        <w:rPr>
          <w:color w:val="auto"/>
          <w:highlight w:val="none"/>
        </w:rPr>
      </w:pPr>
      <w:r>
        <w:rPr>
          <w:color w:val="auto"/>
          <w:highlight w:val="none"/>
        </w:rPr>
      </w:r>
      <w:r>
        <w:rPr>
          <w:color w:val="auto"/>
          <w:highlight w:val="none"/>
        </w:rPr>
      </w:r>
    </w:p>
    <w:p>
      <w:pPr>
        <w:pStyle w:val="1036"/>
        <w:spacing w:before="100" w:beforeAutospacing="1" w:after="100" w:afterAutospacing="1"/>
        <w:widowControl/>
        <w:rPr>
          <w:color w:val="auto"/>
          <w:highlight w:val="none"/>
        </w:rPr>
      </w:pPr>
      <w:r>
        <w:rPr>
          <w:color w:val="auto"/>
          <w:highlight w:val="none"/>
        </w:rPr>
      </w:r>
      <w:r>
        <w:rPr>
          <w:color w:val="auto"/>
          <w:highlight w:val="none"/>
        </w:rPr>
      </w:r>
    </w:p>
    <w:p>
      <w:pPr>
        <w:pStyle w:val="1036"/>
        <w:spacing w:before="100" w:beforeAutospacing="1" w:after="100" w:afterAutospacing="1"/>
        <w:widowControl/>
        <w:rPr>
          <w:color w:val="auto"/>
          <w:highlight w:val="none"/>
        </w:rPr>
      </w:pPr>
      <w:r>
        <w:rPr>
          <w:color w:val="auto"/>
          <w:highlight w:val="none"/>
        </w:rPr>
      </w:r>
      <w:r>
        <w:rPr>
          <w:color w:val="auto"/>
          <w:highlight w:val="none"/>
        </w:rPr>
      </w:r>
    </w:p>
    <w:p>
      <w:pPr>
        <w:pStyle w:val="1036"/>
        <w:ind w:firstLine="584"/>
        <w:jc w:val="right"/>
        <w:spacing w:before="100" w:beforeAutospacing="1" w:after="100" w:afterAutospacing="1" w:line="588" w:lineRule="atLeas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 （电子签章） </w:t>
      </w:r>
      <w:r>
        <w:rPr>
          <w:color w:val="auto"/>
          <w:highlight w:val="none"/>
        </w:rPr>
      </w:r>
    </w:p>
    <w:p>
      <w:pPr>
        <w:pStyle w:val="1036"/>
        <w:ind w:firstLine="584"/>
        <w:jc w:val="right"/>
        <w:spacing w:before="100" w:beforeAutospacing="1" w:after="100" w:afterAutospacing="1" w:line="588" w:lineRule="atLeas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 </w:t>
      </w:r>
      <w:r>
        <w:rPr>
          <w:color w:val="auto"/>
          <w:highlight w:val="none"/>
        </w:rPr>
      </w:r>
    </w:p>
    <w:p>
      <w:pPr>
        <w:pStyle w:val="1036"/>
        <w:spacing w:before="100" w:beforeAutospacing="1" w:after="100" w:afterAutospacing="1"/>
        <w:widowControl/>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1035"/>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pStyle w:val="1035"/>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sectPr>
      <w:headerReference w:type="default" r:id="rId11"/>
      <w:footerReference w:type="default" r:id="rId15"/>
      <w:footnotePr/>
      <w:endnotePr/>
      <w:type w:val="nextPage"/>
      <w:pgSz w:w="11906" w:h="16838" w:orient="portrait"/>
      <w:pgMar w:top="1440" w:right="1440" w:bottom="138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隶书">
    <w:panose1 w:val="020105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39"/>
      </w:rPr>
      <w:framePr w:wrap="around" w:vAnchor="text" w:hAnchor="margin" w:xAlign="center" w:y="1"/>
    </w:pPr>
    <w:r>
      <w:fldChar w:fldCharType="begin"/>
    </w:r>
    <w:r>
      <w:rPr>
        <w:rStyle w:val="1039"/>
        <w:sz w:val="21"/>
        <w:szCs w:val="24"/>
      </w:rPr>
      <w:instrText xml:space="preserve">PAGE  </w:instrText>
    </w:r>
    <w:r>
      <w:fldChar w:fldCharType="end"/>
    </w:r>
    <w:r/>
  </w:p>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right="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rPr>
        <w:rFonts w:ascii="隶书" w:eastAsia="隶书"/>
        <w:sz w:val="21"/>
        <w:u w:val="single"/>
      </w:rPr>
    </w:pPr>
    <w:r>
      <w:rPr>
        <w:rFonts w:ascii="隶书" w:eastAsia="隶书"/>
        <w:sz w:val="21"/>
        <w:u w:val="single"/>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5"/>
      <w:numFmt w:val="decimal"/>
      <w:isLgl w:val="false"/>
      <w:suff w:val="nothing"/>
      <w:lvlText w:val="%1、"/>
      <w:lvlJc w:val="left"/>
      <w:pPr/>
      <w:rPr>
        <w:b w:val="0"/>
        <w:bCs w:val="0"/>
        <w:color w:val="00000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8"/>
  </w:num>
  <w:num w:numId="3">
    <w:abstractNumId w:val="3"/>
  </w:num>
  <w:num w:numId="4">
    <w:abstractNumId w:val="1"/>
  </w:num>
  <w:num w:numId="5">
    <w:abstractNumId w:val="2"/>
  </w:num>
  <w:num w:numId="6">
    <w:abstractNumId w:val="0"/>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2"/>
    <w:next w:val="1002"/>
    <w:link w:val="827"/>
    <w:uiPriority w:val="9"/>
    <w:qFormat/>
    <w:pPr>
      <w:keepLines/>
      <w:keepNext/>
      <w:spacing w:before="480" w:after="200"/>
      <w:outlineLvl w:val="0"/>
    </w:pPr>
    <w:rPr>
      <w:rFonts w:ascii="Arial" w:hAnsi="Arial" w:eastAsia="Arial" w:cs="Arial"/>
      <w:sz w:val="40"/>
      <w:szCs w:val="40"/>
    </w:rPr>
  </w:style>
  <w:style w:type="character" w:styleId="827">
    <w:name w:val="Heading 1 Char"/>
    <w:basedOn w:val="1003"/>
    <w:link w:val="826"/>
    <w:uiPriority w:val="9"/>
    <w:rPr>
      <w:rFonts w:ascii="Arial" w:hAnsi="Arial" w:eastAsia="Arial" w:cs="Arial"/>
      <w:sz w:val="40"/>
      <w:szCs w:val="40"/>
    </w:rPr>
  </w:style>
  <w:style w:type="paragraph" w:styleId="828">
    <w:name w:val="Heading 2"/>
    <w:basedOn w:val="1002"/>
    <w:next w:val="1002"/>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basedOn w:val="1003"/>
    <w:link w:val="828"/>
    <w:uiPriority w:val="9"/>
    <w:rPr>
      <w:rFonts w:ascii="Arial" w:hAnsi="Arial" w:eastAsia="Arial" w:cs="Arial"/>
      <w:sz w:val="34"/>
    </w:rPr>
  </w:style>
  <w:style w:type="paragraph" w:styleId="830">
    <w:name w:val="Heading 3"/>
    <w:basedOn w:val="1002"/>
    <w:next w:val="1002"/>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basedOn w:val="1003"/>
    <w:link w:val="830"/>
    <w:uiPriority w:val="9"/>
    <w:rPr>
      <w:rFonts w:ascii="Arial" w:hAnsi="Arial" w:eastAsia="Arial" w:cs="Arial"/>
      <w:sz w:val="30"/>
      <w:szCs w:val="30"/>
    </w:rPr>
  </w:style>
  <w:style w:type="paragraph" w:styleId="832">
    <w:name w:val="Heading 4"/>
    <w:basedOn w:val="1002"/>
    <w:next w:val="1002"/>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basedOn w:val="1003"/>
    <w:link w:val="832"/>
    <w:uiPriority w:val="9"/>
    <w:rPr>
      <w:rFonts w:ascii="Arial" w:hAnsi="Arial" w:eastAsia="Arial" w:cs="Arial"/>
      <w:b/>
      <w:bCs/>
      <w:sz w:val="26"/>
      <w:szCs w:val="26"/>
    </w:rPr>
  </w:style>
  <w:style w:type="paragraph" w:styleId="834">
    <w:name w:val="Heading 5"/>
    <w:basedOn w:val="1002"/>
    <w:next w:val="1002"/>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basedOn w:val="1003"/>
    <w:link w:val="834"/>
    <w:uiPriority w:val="9"/>
    <w:rPr>
      <w:rFonts w:ascii="Arial" w:hAnsi="Arial" w:eastAsia="Arial" w:cs="Arial"/>
      <w:b/>
      <w:bCs/>
      <w:sz w:val="24"/>
      <w:szCs w:val="24"/>
    </w:rPr>
  </w:style>
  <w:style w:type="paragraph" w:styleId="836">
    <w:name w:val="Heading 6"/>
    <w:basedOn w:val="1002"/>
    <w:next w:val="1002"/>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basedOn w:val="1003"/>
    <w:link w:val="836"/>
    <w:uiPriority w:val="9"/>
    <w:rPr>
      <w:rFonts w:ascii="Arial" w:hAnsi="Arial" w:eastAsia="Arial" w:cs="Arial"/>
      <w:b/>
      <w:bCs/>
      <w:sz w:val="22"/>
      <w:szCs w:val="22"/>
    </w:rPr>
  </w:style>
  <w:style w:type="paragraph" w:styleId="838">
    <w:name w:val="Heading 7"/>
    <w:basedOn w:val="1002"/>
    <w:next w:val="1002"/>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basedOn w:val="1003"/>
    <w:link w:val="838"/>
    <w:uiPriority w:val="9"/>
    <w:rPr>
      <w:rFonts w:ascii="Arial" w:hAnsi="Arial" w:eastAsia="Arial" w:cs="Arial"/>
      <w:b/>
      <w:bCs/>
      <w:i/>
      <w:iCs/>
      <w:sz w:val="22"/>
      <w:szCs w:val="22"/>
    </w:rPr>
  </w:style>
  <w:style w:type="paragraph" w:styleId="840">
    <w:name w:val="Heading 8"/>
    <w:basedOn w:val="1002"/>
    <w:next w:val="1002"/>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basedOn w:val="1003"/>
    <w:link w:val="840"/>
    <w:uiPriority w:val="9"/>
    <w:rPr>
      <w:rFonts w:ascii="Arial" w:hAnsi="Arial" w:eastAsia="Arial" w:cs="Arial"/>
      <w:i/>
      <w:iCs/>
      <w:sz w:val="22"/>
      <w:szCs w:val="22"/>
    </w:rPr>
  </w:style>
  <w:style w:type="paragraph" w:styleId="842">
    <w:name w:val="Heading 9"/>
    <w:basedOn w:val="1002"/>
    <w:next w:val="1002"/>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basedOn w:val="1003"/>
    <w:link w:val="842"/>
    <w:uiPriority w:val="9"/>
    <w:rPr>
      <w:rFonts w:ascii="Arial" w:hAnsi="Arial" w:eastAsia="Arial" w:cs="Arial"/>
      <w:i/>
      <w:iCs/>
      <w:sz w:val="21"/>
      <w:szCs w:val="21"/>
    </w:rPr>
  </w:style>
  <w:style w:type="paragraph" w:styleId="844">
    <w:name w:val="No Spacing"/>
    <w:uiPriority w:val="1"/>
    <w:qFormat/>
    <w:pPr>
      <w:spacing w:before="0" w:after="0" w:line="240" w:lineRule="auto"/>
    </w:pPr>
  </w:style>
  <w:style w:type="paragraph" w:styleId="845">
    <w:name w:val="Title"/>
    <w:basedOn w:val="1002"/>
    <w:next w:val="1002"/>
    <w:link w:val="846"/>
    <w:uiPriority w:val="10"/>
    <w:qFormat/>
    <w:pPr>
      <w:contextualSpacing/>
      <w:spacing w:before="300" w:after="200"/>
    </w:pPr>
    <w:rPr>
      <w:sz w:val="48"/>
      <w:szCs w:val="48"/>
    </w:rPr>
  </w:style>
  <w:style w:type="character" w:styleId="846">
    <w:name w:val="Title Char"/>
    <w:basedOn w:val="1003"/>
    <w:link w:val="845"/>
    <w:uiPriority w:val="10"/>
    <w:rPr>
      <w:sz w:val="48"/>
      <w:szCs w:val="48"/>
    </w:rPr>
  </w:style>
  <w:style w:type="paragraph" w:styleId="847">
    <w:name w:val="Subtitle"/>
    <w:basedOn w:val="1002"/>
    <w:next w:val="1002"/>
    <w:link w:val="848"/>
    <w:uiPriority w:val="11"/>
    <w:qFormat/>
    <w:pPr>
      <w:spacing w:before="200" w:after="200"/>
    </w:pPr>
    <w:rPr>
      <w:sz w:val="24"/>
      <w:szCs w:val="24"/>
    </w:rPr>
  </w:style>
  <w:style w:type="character" w:styleId="848">
    <w:name w:val="Subtitle Char"/>
    <w:basedOn w:val="1003"/>
    <w:link w:val="847"/>
    <w:uiPriority w:val="11"/>
    <w:rPr>
      <w:sz w:val="24"/>
      <w:szCs w:val="24"/>
    </w:rPr>
  </w:style>
  <w:style w:type="paragraph" w:styleId="849">
    <w:name w:val="Quote"/>
    <w:basedOn w:val="1002"/>
    <w:next w:val="1002"/>
    <w:link w:val="850"/>
    <w:uiPriority w:val="29"/>
    <w:qFormat/>
    <w:pPr>
      <w:ind w:left="720" w:right="720"/>
    </w:pPr>
    <w:rPr>
      <w:i/>
    </w:rPr>
  </w:style>
  <w:style w:type="character" w:styleId="850">
    <w:name w:val="Quote Char"/>
    <w:link w:val="849"/>
    <w:uiPriority w:val="29"/>
    <w:rPr>
      <w:i/>
    </w:rPr>
  </w:style>
  <w:style w:type="paragraph" w:styleId="851">
    <w:name w:val="Intense Quote"/>
    <w:basedOn w:val="1002"/>
    <w:next w:val="1002"/>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Intense Quote Char"/>
    <w:link w:val="851"/>
    <w:uiPriority w:val="30"/>
    <w:rPr>
      <w:i/>
    </w:rPr>
  </w:style>
  <w:style w:type="paragraph" w:styleId="853">
    <w:name w:val="Header"/>
    <w:basedOn w:val="1002"/>
    <w:link w:val="854"/>
    <w:uiPriority w:val="99"/>
    <w:unhideWhenUsed/>
    <w:pPr>
      <w:spacing w:after="0" w:line="240" w:lineRule="auto"/>
      <w:tabs>
        <w:tab w:val="center" w:pos="7143" w:leader="none"/>
        <w:tab w:val="right" w:pos="14287" w:leader="none"/>
      </w:tabs>
    </w:pPr>
  </w:style>
  <w:style w:type="character" w:styleId="854">
    <w:name w:val="Header Char"/>
    <w:basedOn w:val="1003"/>
    <w:link w:val="853"/>
    <w:uiPriority w:val="99"/>
  </w:style>
  <w:style w:type="paragraph" w:styleId="855">
    <w:name w:val="Footer"/>
    <w:basedOn w:val="1002"/>
    <w:link w:val="858"/>
    <w:uiPriority w:val="99"/>
    <w:unhideWhenUsed/>
    <w:pPr>
      <w:spacing w:after="0" w:line="240" w:lineRule="auto"/>
      <w:tabs>
        <w:tab w:val="center" w:pos="7143" w:leader="none"/>
        <w:tab w:val="right" w:pos="14287" w:leader="none"/>
      </w:tabs>
    </w:pPr>
  </w:style>
  <w:style w:type="character" w:styleId="856">
    <w:name w:val="Footer Char"/>
    <w:basedOn w:val="1003"/>
    <w:link w:val="855"/>
    <w:uiPriority w:val="99"/>
  </w:style>
  <w:style w:type="paragraph" w:styleId="857">
    <w:name w:val="Caption"/>
    <w:basedOn w:val="1002"/>
    <w:next w:val="1002"/>
    <w:uiPriority w:val="35"/>
    <w:semiHidden/>
    <w:unhideWhenUsed/>
    <w:qFormat/>
    <w:pPr>
      <w:spacing w:line="276" w:lineRule="auto"/>
    </w:pPr>
    <w:rPr>
      <w:b/>
      <w:bCs/>
      <w:color w:val="4f81bd" w:themeColor="accent1"/>
      <w:sz w:val="18"/>
      <w:szCs w:val="18"/>
    </w:rPr>
  </w:style>
  <w:style w:type="character" w:styleId="858">
    <w:name w:val="Caption Char"/>
    <w:basedOn w:val="857"/>
    <w:link w:val="855"/>
    <w:uiPriority w:val="99"/>
  </w:style>
  <w:style w:type="table" w:styleId="859">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95">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96">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97">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98">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99">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0">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6">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7">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0">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1">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2">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3">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4">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35">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7">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38">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39">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0">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1">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2">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1">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2">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3">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4">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55">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56">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58">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59">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0">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1">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2">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3">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5">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6">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7">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8">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9">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0">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2">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3">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4">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5">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6">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7">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basedOn w:val="1003"/>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basedOn w:val="1003"/>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5"/>
    <w:link w:val="103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03" w:default="1">
    <w:name w:val="Default Paragraph Font"/>
    <w:uiPriority w:val="0"/>
    <w:semiHidden/>
  </w:style>
  <w:style w:type="table" w:styleId="1004" w:default="1">
    <w:name w:val="Normal Table"/>
    <w:uiPriority w:val="0"/>
    <w:semiHidden/>
    <w:qFormat/>
    <w:tblPr>
      <w:tblCellMar>
        <w:left w:w="108" w:type="dxa"/>
        <w:top w:w="0" w:type="dxa"/>
        <w:right w:w="108" w:type="dxa"/>
        <w:bottom w:w="0" w:type="dxa"/>
      </w:tblCellMar>
    </w:tblPr>
  </w:style>
  <w:style w:type="paragraph" w:styleId="1005" w:customStyle="1">
    <w:name w:val="正文1"/>
    <w:next w:val="1002"/>
    <w:uiPriority w:val="0"/>
    <w:qFormat/>
    <w:rPr>
      <w:rFonts w:hint="default" w:ascii="Times New Roman" w:hAnsi="Times New Roman" w:eastAsia="宋体" w:cs="Times New Roman"/>
      <w:lang w:val="en-US" w:eastAsia="zh-CN" w:bidi="ar-SA"/>
    </w:rPr>
  </w:style>
  <w:style w:type="paragraph" w:styleId="1006">
    <w:name w:val="Normal Indent"/>
    <w:uiPriority w:val="99"/>
    <w:qFormat/>
    <w:pPr>
      <w:ind w:firstLine="420"/>
      <w:jc w:val="both"/>
      <w:widowControl w:val="off"/>
    </w:pPr>
    <w:rPr>
      <w:rFonts w:ascii="Calibri" w:hAnsi="Calibri" w:eastAsia="宋体" w:cs="Times New Roman"/>
      <w:sz w:val="21"/>
      <w:szCs w:val="20"/>
      <w:lang w:val="en-US" w:eastAsia="zh-CN" w:bidi="ar-SA"/>
    </w:rPr>
  </w:style>
  <w:style w:type="paragraph" w:styleId="1007">
    <w:name w:val="Body Text"/>
    <w:next w:val="1002"/>
    <w:uiPriority w:val="99"/>
    <w:semiHidden/>
    <w:unhideWhenUsed/>
    <w:qFormat/>
    <w:pPr>
      <w:ind w:firstLine="200"/>
      <w:jc w:val="both"/>
      <w:spacing w:after="120" w:line="274" w:lineRule="auto"/>
      <w:widowControl w:val="off"/>
    </w:pPr>
    <w:rPr>
      <w:rFonts w:hint="default" w:ascii="仿宋_GB2312" w:hAnsi="Calibri" w:eastAsia="仿宋_GB2312" w:cs="等线"/>
      <w:sz w:val="24"/>
      <w:szCs w:val="24"/>
      <w:lang w:val="en-US" w:eastAsia="zh-CN" w:bidi="ar-SA"/>
    </w:rPr>
  </w:style>
  <w:style w:type="paragraph" w:styleId="1008">
    <w:name w:val="Body Text First Indent 2"/>
    <w:next w:val="1002"/>
    <w:uiPriority w:val="99"/>
    <w:qFormat/>
    <w:pPr>
      <w:ind w:firstLine="420"/>
      <w:jc w:val="both"/>
      <w:widowControl w:val="off"/>
    </w:pPr>
    <w:rPr>
      <w:rFonts w:ascii="仿宋_GB2312" w:hAnsi="Times New Roman" w:eastAsia="仿宋_GB2312" w:cs="Times New Roman"/>
      <w:sz w:val="24"/>
      <w:szCs w:val="24"/>
      <w:lang w:val="en-US" w:eastAsia="zh-CN" w:bidi="ar-SA"/>
    </w:rPr>
  </w:style>
  <w:style w:type="table" w:styleId="10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0" w:customStyle="1">
    <w:name w:val="正文文本12"/>
    <w:next w:val="1002"/>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1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文本块1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13" w:customStyle="1">
    <w:name w:val="正文缩进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日期1"/>
    <w:next w:val="1002"/>
    <w:uiPriority w:val="0"/>
    <w:qFormat/>
    <w:pPr>
      <w:jc w:val="both"/>
      <w:widowControl w:val="off"/>
    </w:pPr>
    <w:rPr>
      <w:rFonts w:hint="default" w:ascii="Times New Roman" w:hAnsi="Times New Roman" w:eastAsia="仿宋_GB2312" w:cs="Times New Roman"/>
      <w:sz w:val="28"/>
      <w:szCs w:val="20"/>
      <w:lang w:val="en-US" w:eastAsia="zh-CN" w:bidi="ar-SA"/>
    </w:rPr>
  </w:style>
  <w:style w:type="paragraph" w:styleId="1015" w:customStyle="1">
    <w:name w:val="文本块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1016" w:customStyle="1">
    <w:name w:val="NormalCharacter1"/>
    <w:link w:val="1002"/>
    <w:uiPriority w:val="0"/>
    <w:qFormat/>
    <w:rPr>
      <w:rFonts w:hint="default" w:ascii="Times New Roman" w:hAnsi="Times New Roman" w:eastAsia="宋体" w:cs="Times New Roman"/>
      <w:sz w:val="21"/>
      <w:szCs w:val="24"/>
      <w:lang w:val="en-US" w:eastAsia="zh-CN" w:bidi="ar-SA"/>
    </w:rPr>
  </w:style>
  <w:style w:type="paragraph" w:styleId="1017"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18" w:customStyle="1">
    <w:name w:val="Table Text"/>
    <w:uiPriority w:val="0"/>
    <w:semiHidden/>
    <w:qFormat/>
    <w:pPr>
      <w:jc w:val="both"/>
      <w:widowControl w:val="off"/>
    </w:pPr>
    <w:rPr>
      <w:rFonts w:ascii="宋体" w:hAnsi="宋体" w:eastAsia="宋体" w:cs="宋体"/>
      <w:sz w:val="32"/>
      <w:szCs w:val="32"/>
      <w:lang w:val="en-US" w:eastAsia="en-US" w:bidi="ar-SA"/>
    </w:rPr>
  </w:style>
  <w:style w:type="table" w:styleId="1019" w:customStyle="1">
    <w:name w:val="Table Normal"/>
    <w:uiPriority w:val="0"/>
    <w:semiHidden/>
    <w:unhideWhenUsed/>
    <w:qFormat/>
    <w:tblPr>
      <w:tblCellMar>
        <w:left w:w="0" w:type="dxa"/>
        <w:top w:w="0" w:type="dxa"/>
        <w:right w:w="0" w:type="dxa"/>
        <w:bottom w:w="0" w:type="dxa"/>
      </w:tblCellMar>
    </w:tblPr>
  </w:style>
  <w:style w:type="paragraph" w:styleId="1020" w:customStyle="1">
    <w:name w:val="正文文本1"/>
    <w:next w:val="1021"/>
    <w:uiPriority w:val="0"/>
    <w:qFormat/>
    <w:pPr>
      <w:jc w:val="both"/>
      <w:spacing w:after="120"/>
      <w:widowControl w:val="off"/>
    </w:pPr>
    <w:rPr>
      <w:rFonts w:hint="default" w:ascii="Calibri" w:hAnsi="Calibri" w:eastAsia="Calibri" w:cs="Times New Roman"/>
      <w:sz w:val="21"/>
      <w:szCs w:val="24"/>
      <w:lang w:val="en-US" w:eastAsia="zh-CN" w:bidi="ar-SA"/>
    </w:rPr>
  </w:style>
  <w:style w:type="paragraph" w:styleId="1021" w:customStyle="1">
    <w:name w:val="正文11"/>
    <w:next w:val="10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纯文本1"/>
    <w:uiPriority w:val="0"/>
    <w:qFormat/>
    <w:rPr>
      <w:rFonts w:hint="default" w:ascii="宋体" w:hAnsi="Courier New" w:eastAsia="宋体" w:cs="Times New Roman"/>
      <w:sz w:val="21"/>
      <w:szCs w:val="21"/>
      <w:lang w:val="en-US" w:eastAsia="en-US" w:bidi="ar-SA"/>
    </w:rPr>
  </w:style>
  <w:style w:type="paragraph" w:styleId="1023" w:customStyle="1">
    <w:name w:val="正文文本2"/>
    <w:uiPriority w:val="0"/>
    <w:qFormat/>
    <w:pPr>
      <w:ind w:left="1540"/>
      <w:jc w:val="both"/>
      <w:widowControl w:val="off"/>
    </w:pPr>
    <w:rPr>
      <w:rFonts w:hint="default" w:ascii="Times New Roman" w:hAnsi="Times New Roman" w:eastAsia="宋体" w:cs="Times New Roman"/>
      <w:sz w:val="24"/>
      <w:szCs w:val="24"/>
      <w:lang w:val="en-US" w:eastAsia="zh-CN" w:bidi="ar-SA"/>
    </w:rPr>
  </w:style>
  <w:style w:type="character" w:styleId="1024" w:customStyle="1">
    <w:name w:val="fontstyle11"/>
    <w:link w:val="1002"/>
    <w:uiPriority w:val="0"/>
    <w:qFormat/>
    <w:rPr>
      <w:rFonts w:ascii="Arial" w:hAnsi="Arial" w:cs="Arial"/>
      <w:color w:val="000000"/>
      <w:sz w:val="22"/>
      <w:szCs w:val="22"/>
    </w:rPr>
  </w:style>
  <w:style w:type="paragraph" w:styleId="1025">
    <w:name w:val="List Paragraph"/>
    <w:uiPriority w:val="34"/>
    <w:qFormat/>
    <w:pPr>
      <w:ind w:firstLine="420"/>
      <w:jc w:val="both"/>
      <w:widowControl w:val="off"/>
    </w:pPr>
    <w:rPr>
      <w:rFonts w:ascii="Calibri" w:hAnsi="Calibri" w:eastAsia="宋体" w:cs="宋体"/>
      <w:sz w:val="21"/>
      <w:szCs w:val="22"/>
      <w:lang w:val="en-US" w:eastAsia="zh-CN" w:bidi="ar-SA"/>
    </w:rPr>
  </w:style>
  <w:style w:type="paragraph" w:styleId="1026" w:customStyle="1">
    <w:name w:val="列出段落"/>
    <w:uiPriority w:val="34"/>
    <w:qFormat/>
    <w:pPr>
      <w:contextualSpacing/>
      <w:ind w:left="720"/>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目录 111"/>
    <w:next w:val="1028"/>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paragraph" w:styleId="1028" w:customStyle="1">
    <w:name w:val="正文12"/>
    <w:next w:val="1027"/>
    <w:uiPriority w:val="0"/>
    <w:qFormat/>
    <w:pPr>
      <w:jc w:val="both"/>
      <w:widowControl w:val="off"/>
    </w:pPr>
    <w:rPr>
      <w:rFonts w:hint="default" w:ascii="Calibri" w:hAnsi="Calibri" w:eastAsia="Calibri" w:cs="Times New Roman"/>
      <w:sz w:val="21"/>
      <w:szCs w:val="24"/>
      <w:lang w:val="en-US" w:eastAsia="zh-CN" w:bidi="ar-SA"/>
    </w:rPr>
  </w:style>
  <w:style w:type="paragraph" w:styleId="1029" w:customStyle="1">
    <w:name w:val="目录 21"/>
    <w:next w:val="1002"/>
    <w:uiPriority w:val="39"/>
    <w:unhideWhenUsed/>
    <w:qFormat/>
    <w:pPr>
      <w:ind w:left="283"/>
      <w:jc w:val="both"/>
      <w:spacing w:after="57"/>
      <w:widowControl w:val="off"/>
    </w:pPr>
    <w:rPr>
      <w:rFonts w:hint="default" w:ascii="Times New Roman" w:hAnsi="Times New Roman" w:eastAsia="宋体" w:cs="Times New Roman"/>
      <w:sz w:val="21"/>
      <w:szCs w:val="24"/>
      <w:lang w:val="en-US" w:eastAsia="zh-CN" w:bidi="ar-SA"/>
    </w:rPr>
  </w:style>
  <w:style w:type="paragraph" w:styleId="1030" w:customStyle="1">
    <w:name w:val="正文文本缩进12"/>
    <w:next w:val="1031"/>
    <w:uiPriority w:val="99"/>
    <w:unhideWhenUsed/>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31" w:customStyle="1">
    <w:name w:val="寄信人地址1"/>
    <w:uiPriority w:val="99"/>
    <w:unhideWhenUsed/>
    <w:qFormat/>
    <w:pPr>
      <w:jc w:val="both"/>
      <w:widowControl w:val="off"/>
    </w:pPr>
    <w:rPr>
      <w:rFonts w:hint="default" w:ascii="Arial" w:hAnsi="Arial" w:eastAsia="宋体" w:cs="Times New Roman"/>
      <w:sz w:val="21"/>
      <w:szCs w:val="24"/>
      <w:lang w:val="en-US" w:eastAsia="zh-CN" w:bidi="ar-SA"/>
    </w:rPr>
  </w:style>
  <w:style w:type="paragraph" w:styleId="1032" w:customStyle="1">
    <w:name w:val="一级条标题"/>
    <w:next w:val="1033"/>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33" w:customStyle="1">
    <w:name w:val="段"/>
    <w:next w:val="1002"/>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1034" w:customStyle="1">
    <w:name w:val="标题 311"/>
    <w:next w:val="1002"/>
    <w:uiPriority w:val="0"/>
    <w:qFormat/>
    <w:pPr>
      <w:ind w:left="720" w:hanging="720"/>
      <w:jc w:val="both"/>
      <w:keepLines/>
      <w:keepNext/>
      <w:spacing w:before="260" w:after="260" w:line="416" w:lineRule="auto"/>
      <w:widowControl w:val="off"/>
      <w:outlineLvl w:val="2"/>
    </w:pPr>
    <w:rPr>
      <w:rFonts w:hint="default" w:ascii="Calibri" w:hAnsi="Calibri" w:eastAsia="宋体" w:cs="Times New Roman"/>
      <w:b/>
      <w:bCs/>
      <w:sz w:val="32"/>
      <w:szCs w:val="32"/>
      <w:lang w:val="en-US" w:eastAsia="zh-CN" w:bidi="ar-SA"/>
    </w:rPr>
  </w:style>
  <w:style w:type="paragraph" w:styleId="1035"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36" w:customStyle="1">
    <w:name w:val="普通(网站)12"/>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37"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038"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039" w:customStyle="1">
    <w:name w:val="页码1"/>
    <w:link w:val="1002"/>
    <w:uiPriority w:val="0"/>
    <w:qFormat/>
  </w:style>
  <w:style w:type="paragraph" w:styleId="1040" w:customStyle="1">
    <w:name w:val="页脚111"/>
    <w:uiPriority w:val="99"/>
    <w:unhideWhenUsed/>
    <w:qFormat/>
    <w:pPr>
      <w:jc w:val="both"/>
      <w:spacing w:after="0" w:line="240" w:lineRule="auto"/>
      <w:widowControl w:val="off"/>
      <w:tabs>
        <w:tab w:val="center" w:pos="7143" w:leader="none"/>
        <w:tab w:val="right" w:pos="14287" w:leader="none"/>
      </w:tabs>
    </w:pPr>
    <w:rPr>
      <w:rFonts w:hint="default" w:ascii="Times New Roman" w:hAnsi="Times New Roman" w:eastAsia="宋体" w:cs="Times New Roman"/>
      <w:sz w:val="21"/>
      <w:szCs w:val="24"/>
      <w:lang w:val="en-US" w:eastAsia="zh-CN" w:bidi="ar-SA"/>
    </w:rPr>
  </w:style>
  <w:style w:type="paragraph" w:styleId="1041"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042" w:customStyle="1">
    <w:name w:val="p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黄彦璋</cp:lastModifiedBy>
  <cp:revision>3</cp:revision>
  <dcterms:created xsi:type="dcterms:W3CDTF">2025-09-22T07:24:00Z</dcterms:created>
  <dcterms:modified xsi:type="dcterms:W3CDTF">2025-10-10T06:12:45Z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16895A15865C4A73A766B06F75655936_13</vt:lpwstr>
  </property>
  <property fmtid="{D5CDD505-2E9C-101B-9397-08002B2CF9AE}" pid="4" name="KSOTemplateDocerSaveRecord">
    <vt:lpwstr>eyJoZGlkIjoiMmQ3NTVlMzBjNWNkZWM0ZjI4YTk4YmFiZTc5NjQzMjciLCJ1c2VySWQiOiIxMzg0NTY4NjY4In0=</vt:lpwstr>
  </property>
</Properties>
</file>